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7D6B" w14:textId="77777777" w:rsidR="00E4323D" w:rsidRPr="00EE32BD" w:rsidRDefault="00E4323D" w:rsidP="00680B6C">
      <w:pPr>
        <w:rPr>
          <w:color w:val="2F5496"/>
        </w:rPr>
      </w:pPr>
    </w:p>
    <w:p w14:paraId="5F2F58E5" w14:textId="77777777" w:rsidR="00680B6C" w:rsidRPr="00EE32BD" w:rsidRDefault="00680B6C" w:rsidP="002E10DD">
      <w:pPr>
        <w:rPr>
          <w:color w:val="2F5496"/>
        </w:rPr>
      </w:pPr>
    </w:p>
    <w:p w14:paraId="36724007" w14:textId="77777777" w:rsidR="00680B6C" w:rsidRPr="00EE32BD" w:rsidRDefault="00680B6C" w:rsidP="002E10DD">
      <w:pPr>
        <w:rPr>
          <w:color w:val="2F5496"/>
        </w:rPr>
      </w:pPr>
    </w:p>
    <w:p w14:paraId="58B909D7" w14:textId="77777777" w:rsidR="00680B6C" w:rsidRPr="00EE32BD" w:rsidRDefault="00680B6C" w:rsidP="002E10DD">
      <w:pPr>
        <w:rPr>
          <w:color w:val="2F5496"/>
        </w:rPr>
      </w:pPr>
    </w:p>
    <w:p w14:paraId="4DBB693A" w14:textId="77777777" w:rsidR="00680B6C" w:rsidRPr="00EE32BD" w:rsidRDefault="00680B6C" w:rsidP="002E10DD">
      <w:pPr>
        <w:rPr>
          <w:color w:val="2F5496"/>
        </w:rPr>
      </w:pPr>
    </w:p>
    <w:p w14:paraId="29C0B408" w14:textId="77777777" w:rsidR="004F5EBE" w:rsidRDefault="00F84569" w:rsidP="002038D4">
      <w:pPr>
        <w:spacing w:line="240" w:lineRule="auto"/>
        <w:rPr>
          <w:rFonts w:eastAsiaTheme="majorEastAsia" w:cstheme="majorBidi"/>
          <w:b/>
          <w:bCs/>
          <w:color w:val="2F5496"/>
          <w:sz w:val="36"/>
          <w:szCs w:val="36"/>
          <w:lang w:eastAsia="nl-NL"/>
        </w:rPr>
      </w:pPr>
      <w:r>
        <w:rPr>
          <w:rFonts w:eastAsiaTheme="majorEastAsia" w:cstheme="majorBidi"/>
          <w:b/>
          <w:bCs/>
          <w:color w:val="2F5496"/>
          <w:sz w:val="36"/>
          <w:szCs w:val="36"/>
          <w:lang w:eastAsia="nl-NL"/>
        </w:rPr>
        <w:t>Formatieplan</w:t>
      </w:r>
    </w:p>
    <w:p w14:paraId="60C76834" w14:textId="77777777" w:rsidR="004F5EBE" w:rsidRDefault="004F5EBE" w:rsidP="002038D4">
      <w:pPr>
        <w:spacing w:line="240" w:lineRule="auto"/>
        <w:rPr>
          <w:rFonts w:eastAsiaTheme="majorEastAsia" w:cstheme="majorBidi"/>
          <w:b/>
          <w:bCs/>
          <w:color w:val="2F5496"/>
          <w:sz w:val="36"/>
          <w:szCs w:val="36"/>
          <w:lang w:eastAsia="nl-NL"/>
        </w:rPr>
      </w:pPr>
    </w:p>
    <w:p w14:paraId="5CF56FCD" w14:textId="77777777" w:rsidR="00DB4BDC" w:rsidRDefault="00473DA2" w:rsidP="002038D4">
      <w:pPr>
        <w:spacing w:line="240" w:lineRule="auto"/>
        <w:rPr>
          <w:rFonts w:eastAsiaTheme="majorEastAsia" w:cstheme="majorBidi"/>
          <w:b/>
          <w:bCs/>
          <w:color w:val="2F5496"/>
          <w:sz w:val="36"/>
          <w:szCs w:val="36"/>
          <w:lang w:eastAsia="nl-NL"/>
        </w:rPr>
      </w:pPr>
      <w:r>
        <w:rPr>
          <w:rFonts w:eastAsiaTheme="majorEastAsia" w:cstheme="majorBidi"/>
          <w:b/>
          <w:bCs/>
          <w:color w:val="2F5496"/>
          <w:sz w:val="36"/>
          <w:szCs w:val="36"/>
          <w:lang w:eastAsia="nl-NL"/>
        </w:rPr>
        <w:t>2021-2022</w:t>
      </w:r>
    </w:p>
    <w:p w14:paraId="4ECEEE4D" w14:textId="77777777" w:rsidR="002038D4" w:rsidRPr="00EE32BD" w:rsidRDefault="002038D4" w:rsidP="002038D4">
      <w:pPr>
        <w:spacing w:line="240" w:lineRule="auto"/>
        <w:rPr>
          <w:rFonts w:eastAsiaTheme="majorEastAsia" w:cstheme="majorBidi"/>
          <w:b/>
          <w:bCs/>
          <w:color w:val="2F5496"/>
          <w:sz w:val="36"/>
          <w:szCs w:val="36"/>
          <w:lang w:eastAsia="nl-NL"/>
        </w:rPr>
      </w:pPr>
    </w:p>
    <w:p w14:paraId="7398F036" w14:textId="77777777" w:rsidR="002038D4" w:rsidRPr="00EE32BD" w:rsidRDefault="00473DA2" w:rsidP="002038D4">
      <w:pPr>
        <w:spacing w:line="240" w:lineRule="auto"/>
        <w:rPr>
          <w:rFonts w:eastAsiaTheme="majorEastAsia" w:cstheme="majorBidi"/>
          <w:b/>
          <w:bCs/>
          <w:color w:val="2F5496"/>
          <w:sz w:val="36"/>
          <w:szCs w:val="36"/>
          <w:lang w:eastAsia="nl-NL"/>
        </w:rPr>
      </w:pPr>
      <w:r>
        <w:rPr>
          <w:rFonts w:eastAsiaTheme="majorEastAsia" w:cstheme="majorBidi"/>
          <w:b/>
          <w:bCs/>
          <w:color w:val="2F5496"/>
          <w:sz w:val="36"/>
          <w:szCs w:val="36"/>
          <w:lang w:eastAsia="nl-NL"/>
        </w:rPr>
        <w:t>Stichting Ichthus College</w:t>
      </w:r>
    </w:p>
    <w:p w14:paraId="4D444B91" w14:textId="77777777" w:rsidR="002038D4" w:rsidRPr="00EE32BD" w:rsidRDefault="002038D4" w:rsidP="002038D4">
      <w:pPr>
        <w:spacing w:line="240" w:lineRule="auto"/>
        <w:rPr>
          <w:rFonts w:eastAsiaTheme="majorEastAsia" w:cstheme="majorBidi"/>
          <w:b/>
          <w:bCs/>
          <w:color w:val="2F5496"/>
          <w:sz w:val="36"/>
          <w:szCs w:val="36"/>
          <w:lang w:eastAsia="nl-NL"/>
        </w:rPr>
      </w:pPr>
    </w:p>
    <w:p w14:paraId="5013CE92" w14:textId="77777777" w:rsidR="002038D4" w:rsidRPr="00EE32BD" w:rsidRDefault="002038D4" w:rsidP="002038D4">
      <w:pPr>
        <w:spacing w:line="240" w:lineRule="auto"/>
        <w:rPr>
          <w:rFonts w:eastAsiaTheme="majorEastAsia" w:cstheme="majorBidi"/>
          <w:b/>
          <w:bCs/>
          <w:color w:val="2F5496"/>
          <w:sz w:val="36"/>
          <w:szCs w:val="36"/>
          <w:lang w:eastAsia="nl-NL"/>
        </w:rPr>
      </w:pPr>
    </w:p>
    <w:p w14:paraId="22E8892A" w14:textId="77777777" w:rsidR="00680B6C" w:rsidRDefault="00680B6C" w:rsidP="002E10DD">
      <w:pPr>
        <w:rPr>
          <w:color w:val="2F5496"/>
        </w:rPr>
      </w:pPr>
    </w:p>
    <w:p w14:paraId="57A6931C" w14:textId="77777777" w:rsidR="00680B6C" w:rsidRPr="00EE32BD" w:rsidRDefault="00680B6C" w:rsidP="002E10DD">
      <w:pPr>
        <w:rPr>
          <w:color w:val="2F5496"/>
        </w:rPr>
      </w:pPr>
    </w:p>
    <w:p w14:paraId="2C667662" w14:textId="77777777" w:rsidR="00680B6C" w:rsidRPr="00EE32BD" w:rsidRDefault="00680B6C" w:rsidP="002E10DD">
      <w:pPr>
        <w:rPr>
          <w:color w:val="2F5496"/>
        </w:rPr>
      </w:pPr>
    </w:p>
    <w:p w14:paraId="71D865F0" w14:textId="77777777" w:rsidR="00680B6C" w:rsidRPr="00EE32BD" w:rsidRDefault="00680B6C" w:rsidP="002E10DD">
      <w:pPr>
        <w:rPr>
          <w:color w:val="2F5496"/>
        </w:rPr>
      </w:pPr>
    </w:p>
    <w:p w14:paraId="15CBAE50" w14:textId="77777777" w:rsidR="00680B6C" w:rsidRPr="00EE32BD" w:rsidRDefault="00680B6C" w:rsidP="002E10DD">
      <w:pPr>
        <w:rPr>
          <w:color w:val="2F5496"/>
        </w:rPr>
      </w:pPr>
    </w:p>
    <w:p w14:paraId="41EAEBEF" w14:textId="77777777" w:rsidR="00680B6C" w:rsidRPr="00EE32BD" w:rsidRDefault="00680B6C" w:rsidP="002E10DD">
      <w:pPr>
        <w:rPr>
          <w:color w:val="2F5496"/>
        </w:rPr>
      </w:pPr>
    </w:p>
    <w:p w14:paraId="6C6A047E" w14:textId="77777777" w:rsidR="00680B6C" w:rsidRPr="00EE32BD" w:rsidRDefault="00680B6C" w:rsidP="002E10DD">
      <w:pPr>
        <w:rPr>
          <w:color w:val="2F5496"/>
        </w:rPr>
      </w:pPr>
    </w:p>
    <w:p w14:paraId="3A3B395B" w14:textId="77777777" w:rsidR="00680B6C" w:rsidRPr="00EE32BD" w:rsidRDefault="00680B6C" w:rsidP="002E10DD">
      <w:pPr>
        <w:rPr>
          <w:color w:val="2F5496"/>
        </w:rPr>
      </w:pPr>
    </w:p>
    <w:p w14:paraId="0D141AF9" w14:textId="77777777" w:rsidR="00680B6C" w:rsidRPr="00EE32BD" w:rsidRDefault="00680B6C" w:rsidP="002E10DD">
      <w:pPr>
        <w:rPr>
          <w:color w:val="2F5496"/>
        </w:rPr>
      </w:pPr>
    </w:p>
    <w:p w14:paraId="575B7DCD" w14:textId="77777777" w:rsidR="00680B6C" w:rsidRPr="00EE32BD" w:rsidRDefault="00680B6C" w:rsidP="002E10DD">
      <w:pPr>
        <w:rPr>
          <w:color w:val="2F5496"/>
        </w:rPr>
      </w:pPr>
    </w:p>
    <w:p w14:paraId="6BF5F5EA" w14:textId="77777777" w:rsidR="00680B6C" w:rsidRPr="00EE32BD" w:rsidRDefault="00680B6C" w:rsidP="002E10DD">
      <w:pPr>
        <w:rPr>
          <w:color w:val="2F5496"/>
        </w:rPr>
      </w:pPr>
    </w:p>
    <w:p w14:paraId="55E8070B" w14:textId="77777777" w:rsidR="00680B6C" w:rsidRPr="00EE32BD" w:rsidRDefault="00680B6C" w:rsidP="002E10DD">
      <w:pPr>
        <w:rPr>
          <w:color w:val="2F5496"/>
        </w:rPr>
      </w:pPr>
    </w:p>
    <w:p w14:paraId="416326B5" w14:textId="77777777" w:rsidR="00680B6C" w:rsidRPr="00EE32BD" w:rsidRDefault="00680B6C" w:rsidP="002E10DD">
      <w:pPr>
        <w:rPr>
          <w:color w:val="2F5496"/>
        </w:rPr>
      </w:pPr>
    </w:p>
    <w:p w14:paraId="13D0D54F" w14:textId="77777777" w:rsidR="00680B6C" w:rsidRPr="00EE32BD" w:rsidRDefault="00680B6C" w:rsidP="002E10DD">
      <w:pPr>
        <w:rPr>
          <w:color w:val="2F5496"/>
        </w:rPr>
      </w:pPr>
    </w:p>
    <w:p w14:paraId="4D93EC39" w14:textId="77777777" w:rsidR="00680B6C" w:rsidRPr="00EE32BD" w:rsidRDefault="00680B6C" w:rsidP="002E10DD">
      <w:pPr>
        <w:rPr>
          <w:color w:val="2F5496"/>
        </w:rPr>
      </w:pPr>
    </w:p>
    <w:p w14:paraId="3EDA2D36" w14:textId="77777777" w:rsidR="00680B6C" w:rsidRPr="00EE32BD" w:rsidRDefault="00680B6C" w:rsidP="002E10DD">
      <w:pPr>
        <w:rPr>
          <w:color w:val="2F5496"/>
        </w:rPr>
      </w:pPr>
    </w:p>
    <w:p w14:paraId="530536AD" w14:textId="77777777" w:rsidR="00680B6C" w:rsidRPr="00EE32BD" w:rsidRDefault="00680B6C" w:rsidP="002E10DD">
      <w:pPr>
        <w:rPr>
          <w:color w:val="2F5496"/>
        </w:rPr>
      </w:pPr>
    </w:p>
    <w:p w14:paraId="0A0F5E52" w14:textId="77777777" w:rsidR="00680B6C" w:rsidRPr="00EE32BD" w:rsidRDefault="00680B6C" w:rsidP="002E10DD">
      <w:pPr>
        <w:rPr>
          <w:color w:val="2F5496"/>
        </w:rPr>
      </w:pPr>
    </w:p>
    <w:p w14:paraId="0AA2309B" w14:textId="77777777" w:rsidR="00680B6C" w:rsidRPr="00EE32BD" w:rsidRDefault="00680B6C" w:rsidP="002E10DD">
      <w:pPr>
        <w:rPr>
          <w:color w:val="2F5496"/>
        </w:rPr>
      </w:pPr>
    </w:p>
    <w:p w14:paraId="0B2F625C" w14:textId="77777777" w:rsidR="00680B6C" w:rsidRPr="00EE32BD" w:rsidRDefault="00680B6C" w:rsidP="002E10DD">
      <w:pPr>
        <w:rPr>
          <w:color w:val="2F5496"/>
        </w:rPr>
      </w:pPr>
    </w:p>
    <w:p w14:paraId="33DD11CE" w14:textId="77777777" w:rsidR="00680B6C" w:rsidRPr="00EE32BD" w:rsidRDefault="00680B6C" w:rsidP="002E10DD">
      <w:pPr>
        <w:rPr>
          <w:color w:val="2F5496"/>
        </w:rPr>
      </w:pPr>
    </w:p>
    <w:p w14:paraId="4300D005" w14:textId="77777777" w:rsidR="00680B6C" w:rsidRPr="00EE32BD" w:rsidRDefault="00680B6C" w:rsidP="002E10DD">
      <w:pPr>
        <w:rPr>
          <w:color w:val="2F5496"/>
        </w:rPr>
      </w:pPr>
    </w:p>
    <w:p w14:paraId="113934E6" w14:textId="77777777" w:rsidR="00680B6C" w:rsidRPr="00EE32BD" w:rsidRDefault="00680B6C" w:rsidP="002E10DD">
      <w:pPr>
        <w:rPr>
          <w:color w:val="2F5496"/>
        </w:rPr>
      </w:pPr>
    </w:p>
    <w:p w14:paraId="5AAF104E" w14:textId="77777777" w:rsidR="00680B6C" w:rsidRPr="00EE32BD" w:rsidRDefault="00680B6C" w:rsidP="002E10DD">
      <w:pPr>
        <w:rPr>
          <w:color w:val="2F5496"/>
        </w:rPr>
      </w:pPr>
    </w:p>
    <w:p w14:paraId="09115562" w14:textId="77777777" w:rsidR="00680B6C" w:rsidRPr="00EE32BD" w:rsidRDefault="00680B6C" w:rsidP="002E10DD">
      <w:pPr>
        <w:rPr>
          <w:color w:val="2F5496"/>
        </w:rPr>
      </w:pPr>
    </w:p>
    <w:p w14:paraId="79054A4B" w14:textId="5E047F38" w:rsidR="008D7B11" w:rsidRPr="00EE32BD" w:rsidRDefault="00680B6C" w:rsidP="002E10DD">
      <w:pPr>
        <w:rPr>
          <w:color w:val="2F5496"/>
        </w:rPr>
      </w:pPr>
      <w:r w:rsidRPr="00EE32BD">
        <w:rPr>
          <w:color w:val="2F5496"/>
        </w:rPr>
        <w:t xml:space="preserve">Versie: </w:t>
      </w:r>
      <w:r w:rsidR="008D7B11" w:rsidRPr="00EE32BD">
        <w:rPr>
          <w:color w:val="2F5496"/>
        </w:rPr>
        <w:tab/>
      </w:r>
      <w:r w:rsidR="009335E5">
        <w:rPr>
          <w:color w:val="2F5496"/>
        </w:rPr>
        <w:t>def</w:t>
      </w:r>
    </w:p>
    <w:p w14:paraId="5B001A34" w14:textId="3EE0AAD3" w:rsidR="00680B6C" w:rsidRPr="00620DB9" w:rsidRDefault="00680B6C" w:rsidP="002E10DD">
      <w:pPr>
        <w:rPr>
          <w:color w:val="2F5496"/>
        </w:rPr>
      </w:pPr>
      <w:r w:rsidRPr="00620DB9">
        <w:rPr>
          <w:color w:val="2F5496"/>
        </w:rPr>
        <w:t xml:space="preserve">Datum: </w:t>
      </w:r>
      <w:r w:rsidR="009335E5">
        <w:rPr>
          <w:color w:val="2F5496"/>
        </w:rPr>
        <w:t>2</w:t>
      </w:r>
      <w:r w:rsidR="00B33103">
        <w:rPr>
          <w:color w:val="2F5496"/>
        </w:rPr>
        <w:t>1</w:t>
      </w:r>
      <w:r w:rsidR="009335E5">
        <w:rPr>
          <w:color w:val="2F5496"/>
        </w:rPr>
        <w:t>-6-2021</w:t>
      </w:r>
    </w:p>
    <w:p w14:paraId="2DFA1994" w14:textId="494385BB" w:rsidR="000D4CDD" w:rsidRDefault="00680B6C" w:rsidP="000D4CDD">
      <w:pPr>
        <w:rPr>
          <w:color w:val="2F5496"/>
        </w:rPr>
      </w:pPr>
      <w:r w:rsidRPr="00620DB9">
        <w:rPr>
          <w:color w:val="2F5496"/>
        </w:rPr>
        <w:t>Auteur</w:t>
      </w:r>
      <w:r w:rsidR="002341EC">
        <w:rPr>
          <w:color w:val="2F5496"/>
        </w:rPr>
        <w:t>:</w:t>
      </w:r>
      <w:r w:rsidRPr="00620DB9">
        <w:rPr>
          <w:color w:val="2F5496"/>
        </w:rPr>
        <w:t xml:space="preserve"> </w:t>
      </w:r>
      <w:r w:rsidR="00101A94">
        <w:rPr>
          <w:color w:val="2F5496"/>
        </w:rPr>
        <w:t>Seine Hendriks</w:t>
      </w:r>
    </w:p>
    <w:p w14:paraId="3E6E2383" w14:textId="0135D8FA" w:rsidR="00D86452" w:rsidRDefault="00D86452" w:rsidP="000D4CDD">
      <w:pPr>
        <w:rPr>
          <w:color w:val="2F5496"/>
        </w:rPr>
      </w:pPr>
    </w:p>
    <w:p w14:paraId="09D1AA9E" w14:textId="79C04A16" w:rsidR="00D86452" w:rsidRDefault="00D86452">
      <w:pPr>
        <w:spacing w:after="160" w:line="259" w:lineRule="auto"/>
        <w:rPr>
          <w:color w:val="2F5496"/>
        </w:rPr>
      </w:pPr>
      <w:r>
        <w:rPr>
          <w:color w:val="2F5496"/>
        </w:rPr>
        <w:br w:type="page"/>
      </w:r>
    </w:p>
    <w:sdt>
      <w:sdtPr>
        <w:rPr>
          <w:rFonts w:eastAsiaTheme="minorHAnsi" w:cstheme="minorBidi"/>
          <w:b w:val="0"/>
          <w:bCs w:val="0"/>
          <w:color w:val="auto"/>
          <w:sz w:val="20"/>
          <w:szCs w:val="22"/>
          <w:lang w:eastAsia="en-US"/>
        </w:rPr>
        <w:id w:val="1397703117"/>
        <w:docPartObj>
          <w:docPartGallery w:val="Table of Contents"/>
          <w:docPartUnique/>
        </w:docPartObj>
      </w:sdtPr>
      <w:sdtEndPr/>
      <w:sdtContent>
        <w:p w14:paraId="0314C1CF" w14:textId="1C2DF1F3" w:rsidR="00D86452" w:rsidRDefault="00D86452">
          <w:pPr>
            <w:pStyle w:val="Kopvaninhoudsopgave"/>
          </w:pPr>
          <w:r>
            <w:t>Inhoud</w:t>
          </w:r>
        </w:p>
        <w:p w14:paraId="5E09F5D9" w14:textId="4BDC8D18" w:rsidR="00D86452" w:rsidRDefault="00D86452" w:rsidP="00D86452">
          <w:pPr>
            <w:pStyle w:val="Inhopg1"/>
            <w:tabs>
              <w:tab w:val="left" w:pos="600"/>
              <w:tab w:val="right" w:leader="dot" w:pos="9629"/>
            </w:tabs>
            <w:rPr>
              <w:rFonts w:asciiTheme="minorHAnsi" w:eastAsiaTheme="minorEastAsia" w:hAnsiTheme="minorHAnsi"/>
              <w:b w:val="0"/>
              <w:noProof/>
              <w:color w:val="auto"/>
              <w:sz w:val="22"/>
              <w:lang w:eastAsia="nl-NL"/>
            </w:rPr>
          </w:pPr>
          <w:r>
            <w:rPr>
              <w:bCs/>
            </w:rPr>
            <w:fldChar w:fldCharType="begin"/>
          </w:r>
          <w:r>
            <w:rPr>
              <w:bCs/>
            </w:rPr>
            <w:instrText xml:space="preserve"> TOC \o "1-3" \h \z \u </w:instrText>
          </w:r>
          <w:r>
            <w:rPr>
              <w:bCs/>
            </w:rPr>
            <w:fldChar w:fldCharType="separate"/>
          </w:r>
          <w:hyperlink w:anchor="_Toc69994984" w:history="1">
            <w:r w:rsidRPr="00494653">
              <w:rPr>
                <w:rStyle w:val="Hyperlink"/>
                <w:rFonts w:ascii="Verdana" w:hAnsi="Verdana" w:cs="Arial"/>
                <w:noProof/>
              </w:rPr>
              <w:t>1.</w:t>
            </w:r>
            <w:r>
              <w:rPr>
                <w:rFonts w:asciiTheme="minorHAnsi" w:eastAsiaTheme="minorEastAsia" w:hAnsiTheme="minorHAnsi"/>
                <w:b w:val="0"/>
                <w:noProof/>
                <w:color w:val="auto"/>
                <w:sz w:val="22"/>
                <w:lang w:eastAsia="nl-NL"/>
              </w:rPr>
              <w:tab/>
            </w:r>
            <w:r w:rsidRPr="00494653">
              <w:rPr>
                <w:rStyle w:val="Hyperlink"/>
                <w:rFonts w:cs="Arial"/>
                <w:noProof/>
              </w:rPr>
              <w:t>Voorwoord</w:t>
            </w:r>
            <w:r>
              <w:rPr>
                <w:noProof/>
                <w:webHidden/>
              </w:rPr>
              <w:tab/>
            </w:r>
            <w:r>
              <w:rPr>
                <w:noProof/>
                <w:webHidden/>
              </w:rPr>
              <w:fldChar w:fldCharType="begin"/>
            </w:r>
            <w:r>
              <w:rPr>
                <w:noProof/>
                <w:webHidden/>
              </w:rPr>
              <w:instrText xml:space="preserve"> PAGEREF _Toc69994984 \h </w:instrText>
            </w:r>
            <w:r>
              <w:rPr>
                <w:noProof/>
                <w:webHidden/>
              </w:rPr>
            </w:r>
            <w:r>
              <w:rPr>
                <w:noProof/>
                <w:webHidden/>
              </w:rPr>
              <w:fldChar w:fldCharType="separate"/>
            </w:r>
            <w:r>
              <w:rPr>
                <w:noProof/>
                <w:webHidden/>
              </w:rPr>
              <w:t>3</w:t>
            </w:r>
            <w:r>
              <w:rPr>
                <w:noProof/>
                <w:webHidden/>
              </w:rPr>
              <w:fldChar w:fldCharType="end"/>
            </w:r>
          </w:hyperlink>
        </w:p>
        <w:p w14:paraId="3F29654B" w14:textId="1F1F2907" w:rsidR="00D86452" w:rsidRDefault="0025373E" w:rsidP="00D86452">
          <w:pPr>
            <w:pStyle w:val="Inhopg1"/>
            <w:tabs>
              <w:tab w:val="left" w:pos="600"/>
              <w:tab w:val="right" w:leader="dot" w:pos="9629"/>
            </w:tabs>
            <w:rPr>
              <w:rFonts w:asciiTheme="minorHAnsi" w:eastAsiaTheme="minorEastAsia" w:hAnsiTheme="minorHAnsi"/>
              <w:b w:val="0"/>
              <w:noProof/>
              <w:color w:val="auto"/>
              <w:sz w:val="22"/>
              <w:lang w:eastAsia="nl-NL"/>
            </w:rPr>
          </w:pPr>
          <w:hyperlink w:anchor="_Toc69994985" w:history="1">
            <w:r w:rsidR="00D86452" w:rsidRPr="00494653">
              <w:rPr>
                <w:rStyle w:val="Hyperlink"/>
                <w:rFonts w:ascii="Verdana" w:hAnsi="Verdana" w:cs="Arial"/>
                <w:noProof/>
              </w:rPr>
              <w:t>2.</w:t>
            </w:r>
            <w:r w:rsidR="00D86452">
              <w:rPr>
                <w:rFonts w:asciiTheme="minorHAnsi" w:eastAsiaTheme="minorEastAsia" w:hAnsiTheme="minorHAnsi"/>
                <w:b w:val="0"/>
                <w:noProof/>
                <w:color w:val="auto"/>
                <w:sz w:val="22"/>
                <w:lang w:eastAsia="nl-NL"/>
              </w:rPr>
              <w:tab/>
            </w:r>
            <w:r w:rsidR="00D86452" w:rsidRPr="00494653">
              <w:rPr>
                <w:rStyle w:val="Hyperlink"/>
                <w:rFonts w:cs="Arial"/>
                <w:noProof/>
              </w:rPr>
              <w:t>Context formatie nieuwe schooljaar</w:t>
            </w:r>
            <w:r w:rsidR="00D86452">
              <w:rPr>
                <w:noProof/>
                <w:webHidden/>
              </w:rPr>
              <w:tab/>
            </w:r>
            <w:r w:rsidR="00D86452">
              <w:rPr>
                <w:noProof/>
                <w:webHidden/>
              </w:rPr>
              <w:fldChar w:fldCharType="begin"/>
            </w:r>
            <w:r w:rsidR="00D86452">
              <w:rPr>
                <w:noProof/>
                <w:webHidden/>
              </w:rPr>
              <w:instrText xml:space="preserve"> PAGEREF _Toc69994985 \h </w:instrText>
            </w:r>
            <w:r w:rsidR="00D86452">
              <w:rPr>
                <w:noProof/>
                <w:webHidden/>
              </w:rPr>
            </w:r>
            <w:r w:rsidR="00D86452">
              <w:rPr>
                <w:noProof/>
                <w:webHidden/>
              </w:rPr>
              <w:fldChar w:fldCharType="separate"/>
            </w:r>
            <w:r w:rsidR="00D86452">
              <w:rPr>
                <w:noProof/>
                <w:webHidden/>
              </w:rPr>
              <w:t>4</w:t>
            </w:r>
            <w:r w:rsidR="00D86452">
              <w:rPr>
                <w:noProof/>
                <w:webHidden/>
              </w:rPr>
              <w:fldChar w:fldCharType="end"/>
            </w:r>
          </w:hyperlink>
        </w:p>
        <w:p w14:paraId="321FB175" w14:textId="3B28187A" w:rsidR="00D86452" w:rsidRDefault="0025373E" w:rsidP="00D86452">
          <w:pPr>
            <w:pStyle w:val="Inhopg1"/>
            <w:tabs>
              <w:tab w:val="left" w:pos="600"/>
              <w:tab w:val="right" w:leader="dot" w:pos="9629"/>
            </w:tabs>
            <w:rPr>
              <w:rFonts w:asciiTheme="minorHAnsi" w:eastAsiaTheme="minorEastAsia" w:hAnsiTheme="minorHAnsi"/>
              <w:b w:val="0"/>
              <w:noProof/>
              <w:color w:val="auto"/>
              <w:sz w:val="22"/>
              <w:lang w:eastAsia="nl-NL"/>
            </w:rPr>
          </w:pPr>
          <w:hyperlink w:anchor="_Toc69994986" w:history="1">
            <w:r w:rsidR="00D86452" w:rsidRPr="00494653">
              <w:rPr>
                <w:rStyle w:val="Hyperlink"/>
                <w:rFonts w:ascii="Verdana" w:hAnsi="Verdana" w:cs="Arial"/>
                <w:noProof/>
              </w:rPr>
              <w:t>3.</w:t>
            </w:r>
            <w:r w:rsidR="00D86452">
              <w:rPr>
                <w:rFonts w:asciiTheme="minorHAnsi" w:eastAsiaTheme="minorEastAsia" w:hAnsiTheme="minorHAnsi"/>
                <w:b w:val="0"/>
                <w:noProof/>
                <w:color w:val="auto"/>
                <w:sz w:val="22"/>
                <w:lang w:eastAsia="nl-NL"/>
              </w:rPr>
              <w:tab/>
            </w:r>
            <w:r w:rsidR="00D86452" w:rsidRPr="00494653">
              <w:rPr>
                <w:rStyle w:val="Hyperlink"/>
                <w:rFonts w:cs="Arial"/>
                <w:noProof/>
              </w:rPr>
              <w:t>Landelijke ontwikkelingen</w:t>
            </w:r>
            <w:r w:rsidR="00D86452">
              <w:rPr>
                <w:noProof/>
                <w:webHidden/>
              </w:rPr>
              <w:tab/>
            </w:r>
            <w:r w:rsidR="00D86452">
              <w:rPr>
                <w:noProof/>
                <w:webHidden/>
              </w:rPr>
              <w:fldChar w:fldCharType="begin"/>
            </w:r>
            <w:r w:rsidR="00D86452">
              <w:rPr>
                <w:noProof/>
                <w:webHidden/>
              </w:rPr>
              <w:instrText xml:space="preserve"> PAGEREF _Toc69994986 \h </w:instrText>
            </w:r>
            <w:r w:rsidR="00D86452">
              <w:rPr>
                <w:noProof/>
                <w:webHidden/>
              </w:rPr>
            </w:r>
            <w:r w:rsidR="00D86452">
              <w:rPr>
                <w:noProof/>
                <w:webHidden/>
              </w:rPr>
              <w:fldChar w:fldCharType="separate"/>
            </w:r>
            <w:r w:rsidR="00D86452">
              <w:rPr>
                <w:noProof/>
                <w:webHidden/>
              </w:rPr>
              <w:t>5</w:t>
            </w:r>
            <w:r w:rsidR="00D86452">
              <w:rPr>
                <w:noProof/>
                <w:webHidden/>
              </w:rPr>
              <w:fldChar w:fldCharType="end"/>
            </w:r>
          </w:hyperlink>
        </w:p>
        <w:p w14:paraId="04E7ACB9" w14:textId="683496AC"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87" w:history="1">
            <w:r w:rsidR="00D86452" w:rsidRPr="00494653">
              <w:rPr>
                <w:rStyle w:val="Hyperlink"/>
                <w:noProof/>
              </w:rPr>
              <w:t>3.1 CAO + overige ontwikkelingen</w:t>
            </w:r>
            <w:r w:rsidR="00D86452">
              <w:rPr>
                <w:noProof/>
                <w:webHidden/>
              </w:rPr>
              <w:tab/>
            </w:r>
            <w:r w:rsidR="00D86452">
              <w:rPr>
                <w:noProof/>
                <w:webHidden/>
              </w:rPr>
              <w:fldChar w:fldCharType="begin"/>
            </w:r>
            <w:r w:rsidR="00D86452">
              <w:rPr>
                <w:noProof/>
                <w:webHidden/>
              </w:rPr>
              <w:instrText xml:space="preserve"> PAGEREF _Toc69994987 \h </w:instrText>
            </w:r>
            <w:r w:rsidR="00D86452">
              <w:rPr>
                <w:noProof/>
                <w:webHidden/>
              </w:rPr>
            </w:r>
            <w:r w:rsidR="00D86452">
              <w:rPr>
                <w:noProof/>
                <w:webHidden/>
              </w:rPr>
              <w:fldChar w:fldCharType="separate"/>
            </w:r>
            <w:r w:rsidR="00D86452">
              <w:rPr>
                <w:noProof/>
                <w:webHidden/>
              </w:rPr>
              <w:t>5</w:t>
            </w:r>
            <w:r w:rsidR="00D86452">
              <w:rPr>
                <w:noProof/>
                <w:webHidden/>
              </w:rPr>
              <w:fldChar w:fldCharType="end"/>
            </w:r>
          </w:hyperlink>
        </w:p>
        <w:p w14:paraId="46D9F92B" w14:textId="5A9A320A"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88" w:history="1">
            <w:r w:rsidR="00D86452" w:rsidRPr="00494653">
              <w:rPr>
                <w:rStyle w:val="Hyperlink"/>
                <w:noProof/>
              </w:rPr>
              <w:t>3.2 Ontwikkeling loonkosten en bekostiging</w:t>
            </w:r>
            <w:r w:rsidR="00D86452">
              <w:rPr>
                <w:noProof/>
                <w:webHidden/>
              </w:rPr>
              <w:tab/>
            </w:r>
            <w:r w:rsidR="00D86452">
              <w:rPr>
                <w:noProof/>
                <w:webHidden/>
              </w:rPr>
              <w:fldChar w:fldCharType="begin"/>
            </w:r>
            <w:r w:rsidR="00D86452">
              <w:rPr>
                <w:noProof/>
                <w:webHidden/>
              </w:rPr>
              <w:instrText xml:space="preserve"> PAGEREF _Toc69994988 \h </w:instrText>
            </w:r>
            <w:r w:rsidR="00D86452">
              <w:rPr>
                <w:noProof/>
                <w:webHidden/>
              </w:rPr>
            </w:r>
            <w:r w:rsidR="00D86452">
              <w:rPr>
                <w:noProof/>
                <w:webHidden/>
              </w:rPr>
              <w:fldChar w:fldCharType="separate"/>
            </w:r>
            <w:r w:rsidR="00D86452">
              <w:rPr>
                <w:noProof/>
                <w:webHidden/>
              </w:rPr>
              <w:t>5</w:t>
            </w:r>
            <w:r w:rsidR="00D86452">
              <w:rPr>
                <w:noProof/>
                <w:webHidden/>
              </w:rPr>
              <w:fldChar w:fldCharType="end"/>
            </w:r>
          </w:hyperlink>
        </w:p>
        <w:p w14:paraId="3338B6CC" w14:textId="56274086"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89" w:history="1">
            <w:r w:rsidR="00D86452" w:rsidRPr="00494653">
              <w:rPr>
                <w:rStyle w:val="Hyperlink"/>
                <w:noProof/>
              </w:rPr>
              <w:t>3.3 Sectorakkoord VO</w:t>
            </w:r>
            <w:r w:rsidR="00D86452">
              <w:rPr>
                <w:noProof/>
                <w:webHidden/>
              </w:rPr>
              <w:tab/>
            </w:r>
            <w:r w:rsidR="00D86452">
              <w:rPr>
                <w:noProof/>
                <w:webHidden/>
              </w:rPr>
              <w:fldChar w:fldCharType="begin"/>
            </w:r>
            <w:r w:rsidR="00D86452">
              <w:rPr>
                <w:noProof/>
                <w:webHidden/>
              </w:rPr>
              <w:instrText xml:space="preserve"> PAGEREF _Toc69994989 \h </w:instrText>
            </w:r>
            <w:r w:rsidR="00D86452">
              <w:rPr>
                <w:noProof/>
                <w:webHidden/>
              </w:rPr>
            </w:r>
            <w:r w:rsidR="00D86452">
              <w:rPr>
                <w:noProof/>
                <w:webHidden/>
              </w:rPr>
              <w:fldChar w:fldCharType="separate"/>
            </w:r>
            <w:r w:rsidR="00D86452">
              <w:rPr>
                <w:noProof/>
                <w:webHidden/>
              </w:rPr>
              <w:t>5</w:t>
            </w:r>
            <w:r w:rsidR="00D86452">
              <w:rPr>
                <w:noProof/>
                <w:webHidden/>
              </w:rPr>
              <w:fldChar w:fldCharType="end"/>
            </w:r>
          </w:hyperlink>
        </w:p>
        <w:p w14:paraId="21C97139" w14:textId="1ED587BA"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90" w:history="1">
            <w:r w:rsidR="00D86452" w:rsidRPr="00494653">
              <w:rPr>
                <w:rStyle w:val="Hyperlink"/>
                <w:noProof/>
              </w:rPr>
              <w:t>3.4 Vereenvoudiging bekostiging VO</w:t>
            </w:r>
            <w:r w:rsidR="00D86452">
              <w:rPr>
                <w:noProof/>
                <w:webHidden/>
              </w:rPr>
              <w:tab/>
            </w:r>
            <w:r w:rsidR="00D86452">
              <w:rPr>
                <w:noProof/>
                <w:webHidden/>
              </w:rPr>
              <w:fldChar w:fldCharType="begin"/>
            </w:r>
            <w:r w:rsidR="00D86452">
              <w:rPr>
                <w:noProof/>
                <w:webHidden/>
              </w:rPr>
              <w:instrText xml:space="preserve"> PAGEREF _Toc69994990 \h </w:instrText>
            </w:r>
            <w:r w:rsidR="00D86452">
              <w:rPr>
                <w:noProof/>
                <w:webHidden/>
              </w:rPr>
            </w:r>
            <w:r w:rsidR="00D86452">
              <w:rPr>
                <w:noProof/>
                <w:webHidden/>
              </w:rPr>
              <w:fldChar w:fldCharType="separate"/>
            </w:r>
            <w:r w:rsidR="00D86452">
              <w:rPr>
                <w:noProof/>
                <w:webHidden/>
              </w:rPr>
              <w:t>6</w:t>
            </w:r>
            <w:r w:rsidR="00D86452">
              <w:rPr>
                <w:noProof/>
                <w:webHidden/>
              </w:rPr>
              <w:fldChar w:fldCharType="end"/>
            </w:r>
          </w:hyperlink>
        </w:p>
        <w:p w14:paraId="48096BA0" w14:textId="19E84779"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91" w:history="1">
            <w:r w:rsidR="00D86452" w:rsidRPr="00494653">
              <w:rPr>
                <w:rStyle w:val="Hyperlink"/>
                <w:noProof/>
              </w:rPr>
              <w:t>3.5 De prestatiebox</w:t>
            </w:r>
            <w:r w:rsidR="00D86452">
              <w:rPr>
                <w:noProof/>
                <w:webHidden/>
              </w:rPr>
              <w:tab/>
            </w:r>
            <w:r w:rsidR="00D86452">
              <w:rPr>
                <w:noProof/>
                <w:webHidden/>
              </w:rPr>
              <w:fldChar w:fldCharType="begin"/>
            </w:r>
            <w:r w:rsidR="00D86452">
              <w:rPr>
                <w:noProof/>
                <w:webHidden/>
              </w:rPr>
              <w:instrText xml:space="preserve"> PAGEREF _Toc69994991 \h </w:instrText>
            </w:r>
            <w:r w:rsidR="00D86452">
              <w:rPr>
                <w:noProof/>
                <w:webHidden/>
              </w:rPr>
            </w:r>
            <w:r w:rsidR="00D86452">
              <w:rPr>
                <w:noProof/>
                <w:webHidden/>
              </w:rPr>
              <w:fldChar w:fldCharType="separate"/>
            </w:r>
            <w:r w:rsidR="00D86452">
              <w:rPr>
                <w:noProof/>
                <w:webHidden/>
              </w:rPr>
              <w:t>6</w:t>
            </w:r>
            <w:r w:rsidR="00D86452">
              <w:rPr>
                <w:noProof/>
                <w:webHidden/>
              </w:rPr>
              <w:fldChar w:fldCharType="end"/>
            </w:r>
          </w:hyperlink>
        </w:p>
        <w:p w14:paraId="2C72C3C0" w14:textId="13566B75"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92" w:history="1">
            <w:r w:rsidR="00D86452" w:rsidRPr="00494653">
              <w:rPr>
                <w:rStyle w:val="Hyperlink"/>
                <w:noProof/>
              </w:rPr>
              <w:t>3.6 Overige onderwerpen</w:t>
            </w:r>
            <w:r w:rsidR="00D86452">
              <w:rPr>
                <w:noProof/>
                <w:webHidden/>
              </w:rPr>
              <w:tab/>
            </w:r>
            <w:r w:rsidR="00D86452">
              <w:rPr>
                <w:noProof/>
                <w:webHidden/>
              </w:rPr>
              <w:fldChar w:fldCharType="begin"/>
            </w:r>
            <w:r w:rsidR="00D86452">
              <w:rPr>
                <w:noProof/>
                <w:webHidden/>
              </w:rPr>
              <w:instrText xml:space="preserve"> PAGEREF _Toc69994992 \h </w:instrText>
            </w:r>
            <w:r w:rsidR="00D86452">
              <w:rPr>
                <w:noProof/>
                <w:webHidden/>
              </w:rPr>
            </w:r>
            <w:r w:rsidR="00D86452">
              <w:rPr>
                <w:noProof/>
                <w:webHidden/>
              </w:rPr>
              <w:fldChar w:fldCharType="separate"/>
            </w:r>
            <w:r w:rsidR="00D86452">
              <w:rPr>
                <w:noProof/>
                <w:webHidden/>
              </w:rPr>
              <w:t>7</w:t>
            </w:r>
            <w:r w:rsidR="00D86452">
              <w:rPr>
                <w:noProof/>
                <w:webHidden/>
              </w:rPr>
              <w:fldChar w:fldCharType="end"/>
            </w:r>
          </w:hyperlink>
        </w:p>
        <w:p w14:paraId="49CC626F" w14:textId="1B57538F" w:rsidR="00D86452" w:rsidRDefault="0025373E" w:rsidP="00D86452">
          <w:pPr>
            <w:pStyle w:val="Inhopg1"/>
            <w:tabs>
              <w:tab w:val="left" w:pos="600"/>
              <w:tab w:val="right" w:leader="dot" w:pos="9629"/>
            </w:tabs>
            <w:rPr>
              <w:rFonts w:asciiTheme="minorHAnsi" w:eastAsiaTheme="minorEastAsia" w:hAnsiTheme="minorHAnsi"/>
              <w:b w:val="0"/>
              <w:noProof/>
              <w:color w:val="auto"/>
              <w:sz w:val="22"/>
              <w:lang w:eastAsia="nl-NL"/>
            </w:rPr>
          </w:pPr>
          <w:hyperlink w:anchor="_Toc69994993" w:history="1">
            <w:r w:rsidR="00D86452" w:rsidRPr="00494653">
              <w:rPr>
                <w:rStyle w:val="Hyperlink"/>
                <w:rFonts w:ascii="Verdana" w:hAnsi="Verdana" w:cs="Arial"/>
                <w:noProof/>
              </w:rPr>
              <w:t>4.</w:t>
            </w:r>
            <w:r w:rsidR="00D86452">
              <w:rPr>
                <w:rFonts w:asciiTheme="minorHAnsi" w:eastAsiaTheme="minorEastAsia" w:hAnsiTheme="minorHAnsi"/>
                <w:b w:val="0"/>
                <w:noProof/>
                <w:color w:val="auto"/>
                <w:sz w:val="22"/>
                <w:lang w:eastAsia="nl-NL"/>
              </w:rPr>
              <w:tab/>
            </w:r>
            <w:r w:rsidR="00D86452" w:rsidRPr="00494653">
              <w:rPr>
                <w:rStyle w:val="Hyperlink"/>
                <w:rFonts w:cs="Arial"/>
                <w:noProof/>
              </w:rPr>
              <w:t>Interne ontwikkelingen</w:t>
            </w:r>
            <w:r w:rsidR="00D86452">
              <w:rPr>
                <w:noProof/>
                <w:webHidden/>
              </w:rPr>
              <w:tab/>
            </w:r>
            <w:r w:rsidR="00D86452">
              <w:rPr>
                <w:noProof/>
                <w:webHidden/>
              </w:rPr>
              <w:fldChar w:fldCharType="begin"/>
            </w:r>
            <w:r w:rsidR="00D86452">
              <w:rPr>
                <w:noProof/>
                <w:webHidden/>
              </w:rPr>
              <w:instrText xml:space="preserve"> PAGEREF _Toc69994993 \h </w:instrText>
            </w:r>
            <w:r w:rsidR="00D86452">
              <w:rPr>
                <w:noProof/>
                <w:webHidden/>
              </w:rPr>
            </w:r>
            <w:r w:rsidR="00D86452">
              <w:rPr>
                <w:noProof/>
                <w:webHidden/>
              </w:rPr>
              <w:fldChar w:fldCharType="separate"/>
            </w:r>
            <w:r w:rsidR="00D86452">
              <w:rPr>
                <w:noProof/>
                <w:webHidden/>
              </w:rPr>
              <w:t>8</w:t>
            </w:r>
            <w:r w:rsidR="00D86452">
              <w:rPr>
                <w:noProof/>
                <w:webHidden/>
              </w:rPr>
              <w:fldChar w:fldCharType="end"/>
            </w:r>
          </w:hyperlink>
        </w:p>
        <w:p w14:paraId="40E91351" w14:textId="3712EDCC"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4994" w:history="1">
            <w:r w:rsidR="00D86452" w:rsidRPr="00494653">
              <w:rPr>
                <w:rStyle w:val="Hyperlink"/>
                <w:noProof/>
              </w:rPr>
              <w:t>4.1 Functiemix (zie ook hoofdstuk 5.10)</w:t>
            </w:r>
            <w:r w:rsidR="00D86452">
              <w:rPr>
                <w:noProof/>
                <w:webHidden/>
              </w:rPr>
              <w:tab/>
            </w:r>
            <w:r w:rsidR="00D86452">
              <w:rPr>
                <w:noProof/>
                <w:webHidden/>
              </w:rPr>
              <w:fldChar w:fldCharType="begin"/>
            </w:r>
            <w:r w:rsidR="00D86452">
              <w:rPr>
                <w:noProof/>
                <w:webHidden/>
              </w:rPr>
              <w:instrText xml:space="preserve"> PAGEREF _Toc69994994 \h </w:instrText>
            </w:r>
            <w:r w:rsidR="00D86452">
              <w:rPr>
                <w:noProof/>
                <w:webHidden/>
              </w:rPr>
            </w:r>
            <w:r w:rsidR="00D86452">
              <w:rPr>
                <w:noProof/>
                <w:webHidden/>
              </w:rPr>
              <w:fldChar w:fldCharType="separate"/>
            </w:r>
            <w:r w:rsidR="00D86452">
              <w:rPr>
                <w:noProof/>
                <w:webHidden/>
              </w:rPr>
              <w:t>8</w:t>
            </w:r>
            <w:r w:rsidR="00D86452">
              <w:rPr>
                <w:noProof/>
                <w:webHidden/>
              </w:rPr>
              <w:fldChar w:fldCharType="end"/>
            </w:r>
          </w:hyperlink>
        </w:p>
        <w:p w14:paraId="4896DFD8" w14:textId="03BF7CED"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4995" w:history="1">
            <w:r w:rsidR="00D86452" w:rsidRPr="00494653">
              <w:rPr>
                <w:rStyle w:val="Hyperlink"/>
                <w:noProof/>
              </w:rPr>
              <w:t>4.2</w:t>
            </w:r>
            <w:r w:rsidR="00D86452">
              <w:rPr>
                <w:rFonts w:asciiTheme="minorHAnsi" w:eastAsiaTheme="minorEastAsia" w:hAnsiTheme="minorHAnsi"/>
                <w:b w:val="0"/>
                <w:noProof/>
                <w:color w:val="auto"/>
                <w:sz w:val="22"/>
                <w:lang w:eastAsia="nl-NL"/>
              </w:rPr>
              <w:tab/>
            </w:r>
            <w:r w:rsidR="00D86452" w:rsidRPr="00494653">
              <w:rPr>
                <w:rStyle w:val="Hyperlink"/>
                <w:noProof/>
              </w:rPr>
              <w:t>Onderwijstijd</w:t>
            </w:r>
            <w:r w:rsidR="00D86452">
              <w:rPr>
                <w:noProof/>
                <w:webHidden/>
              </w:rPr>
              <w:tab/>
            </w:r>
            <w:r w:rsidR="00D86452">
              <w:rPr>
                <w:noProof/>
                <w:webHidden/>
              </w:rPr>
              <w:fldChar w:fldCharType="begin"/>
            </w:r>
            <w:r w:rsidR="00D86452">
              <w:rPr>
                <w:noProof/>
                <w:webHidden/>
              </w:rPr>
              <w:instrText xml:space="preserve"> PAGEREF _Toc69994995 \h </w:instrText>
            </w:r>
            <w:r w:rsidR="00D86452">
              <w:rPr>
                <w:noProof/>
                <w:webHidden/>
              </w:rPr>
            </w:r>
            <w:r w:rsidR="00D86452">
              <w:rPr>
                <w:noProof/>
                <w:webHidden/>
              </w:rPr>
              <w:fldChar w:fldCharType="separate"/>
            </w:r>
            <w:r w:rsidR="00D86452">
              <w:rPr>
                <w:noProof/>
                <w:webHidden/>
              </w:rPr>
              <w:t>8</w:t>
            </w:r>
            <w:r w:rsidR="00D86452">
              <w:rPr>
                <w:noProof/>
                <w:webHidden/>
              </w:rPr>
              <w:fldChar w:fldCharType="end"/>
            </w:r>
          </w:hyperlink>
        </w:p>
        <w:p w14:paraId="5F163E01" w14:textId="74F23DC4"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4996" w:history="1">
            <w:r w:rsidR="00D86452" w:rsidRPr="00494653">
              <w:rPr>
                <w:rStyle w:val="Hyperlink"/>
                <w:noProof/>
              </w:rPr>
              <w:t>4.3</w:t>
            </w:r>
            <w:r w:rsidR="00D86452">
              <w:rPr>
                <w:rFonts w:asciiTheme="minorHAnsi" w:eastAsiaTheme="minorEastAsia" w:hAnsiTheme="minorHAnsi"/>
                <w:b w:val="0"/>
                <w:noProof/>
                <w:color w:val="auto"/>
                <w:sz w:val="22"/>
                <w:lang w:eastAsia="nl-NL"/>
              </w:rPr>
              <w:tab/>
            </w:r>
            <w:r w:rsidR="00D86452" w:rsidRPr="00494653">
              <w:rPr>
                <w:rStyle w:val="Hyperlink"/>
                <w:noProof/>
              </w:rPr>
              <w:t>Persoonlijk budget en Seniorenverlof</w:t>
            </w:r>
            <w:r w:rsidR="00D86452">
              <w:rPr>
                <w:noProof/>
                <w:webHidden/>
              </w:rPr>
              <w:tab/>
            </w:r>
            <w:r w:rsidR="00D86452">
              <w:rPr>
                <w:noProof/>
                <w:webHidden/>
              </w:rPr>
              <w:fldChar w:fldCharType="begin"/>
            </w:r>
            <w:r w:rsidR="00D86452">
              <w:rPr>
                <w:noProof/>
                <w:webHidden/>
              </w:rPr>
              <w:instrText xml:space="preserve"> PAGEREF _Toc69994996 \h </w:instrText>
            </w:r>
            <w:r w:rsidR="00D86452">
              <w:rPr>
                <w:noProof/>
                <w:webHidden/>
              </w:rPr>
            </w:r>
            <w:r w:rsidR="00D86452">
              <w:rPr>
                <w:noProof/>
                <w:webHidden/>
              </w:rPr>
              <w:fldChar w:fldCharType="separate"/>
            </w:r>
            <w:r w:rsidR="00D86452">
              <w:rPr>
                <w:noProof/>
                <w:webHidden/>
              </w:rPr>
              <w:t>9</w:t>
            </w:r>
            <w:r w:rsidR="00D86452">
              <w:rPr>
                <w:noProof/>
                <w:webHidden/>
              </w:rPr>
              <w:fldChar w:fldCharType="end"/>
            </w:r>
          </w:hyperlink>
        </w:p>
        <w:p w14:paraId="735592B6" w14:textId="116673C3"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4997" w:history="1">
            <w:r w:rsidR="00D86452" w:rsidRPr="00494653">
              <w:rPr>
                <w:rStyle w:val="Hyperlink"/>
                <w:noProof/>
              </w:rPr>
              <w:t>4.4</w:t>
            </w:r>
            <w:r w:rsidR="00D86452">
              <w:rPr>
                <w:rFonts w:asciiTheme="minorHAnsi" w:eastAsiaTheme="minorEastAsia" w:hAnsiTheme="minorHAnsi"/>
                <w:b w:val="0"/>
                <w:noProof/>
                <w:color w:val="auto"/>
                <w:sz w:val="22"/>
                <w:lang w:eastAsia="nl-NL"/>
              </w:rPr>
              <w:tab/>
            </w:r>
            <w:r w:rsidR="00D86452" w:rsidRPr="00494653">
              <w:rPr>
                <w:rStyle w:val="Hyperlink"/>
                <w:noProof/>
              </w:rPr>
              <w:t>Professionalisering</w:t>
            </w:r>
            <w:r w:rsidR="00D86452">
              <w:rPr>
                <w:noProof/>
                <w:webHidden/>
              </w:rPr>
              <w:tab/>
            </w:r>
            <w:r w:rsidR="00D86452">
              <w:rPr>
                <w:noProof/>
                <w:webHidden/>
              </w:rPr>
              <w:fldChar w:fldCharType="begin"/>
            </w:r>
            <w:r w:rsidR="00D86452">
              <w:rPr>
                <w:noProof/>
                <w:webHidden/>
              </w:rPr>
              <w:instrText xml:space="preserve"> PAGEREF _Toc69994997 \h </w:instrText>
            </w:r>
            <w:r w:rsidR="00D86452">
              <w:rPr>
                <w:noProof/>
                <w:webHidden/>
              </w:rPr>
            </w:r>
            <w:r w:rsidR="00D86452">
              <w:rPr>
                <w:noProof/>
                <w:webHidden/>
              </w:rPr>
              <w:fldChar w:fldCharType="separate"/>
            </w:r>
            <w:r w:rsidR="00D86452">
              <w:rPr>
                <w:noProof/>
                <w:webHidden/>
              </w:rPr>
              <w:t>10</w:t>
            </w:r>
            <w:r w:rsidR="00D86452">
              <w:rPr>
                <w:noProof/>
                <w:webHidden/>
              </w:rPr>
              <w:fldChar w:fldCharType="end"/>
            </w:r>
          </w:hyperlink>
        </w:p>
        <w:p w14:paraId="34EA54F7" w14:textId="3646E123"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4998" w:history="1">
            <w:r w:rsidR="00D86452" w:rsidRPr="00494653">
              <w:rPr>
                <w:rStyle w:val="Hyperlink"/>
                <w:noProof/>
              </w:rPr>
              <w:t>4.5</w:t>
            </w:r>
            <w:r w:rsidR="00D86452">
              <w:rPr>
                <w:rFonts w:asciiTheme="minorHAnsi" w:eastAsiaTheme="minorEastAsia" w:hAnsiTheme="minorHAnsi"/>
                <w:b w:val="0"/>
                <w:noProof/>
                <w:color w:val="auto"/>
                <w:sz w:val="22"/>
                <w:lang w:eastAsia="nl-NL"/>
              </w:rPr>
              <w:tab/>
            </w:r>
            <w:r w:rsidR="00D86452" w:rsidRPr="00494653">
              <w:rPr>
                <w:rStyle w:val="Hyperlink"/>
                <w:noProof/>
              </w:rPr>
              <w:t>Werkgelegenheid</w:t>
            </w:r>
            <w:r w:rsidR="00D86452">
              <w:rPr>
                <w:noProof/>
                <w:webHidden/>
              </w:rPr>
              <w:tab/>
            </w:r>
            <w:r w:rsidR="00D86452">
              <w:rPr>
                <w:noProof/>
                <w:webHidden/>
              </w:rPr>
              <w:fldChar w:fldCharType="begin"/>
            </w:r>
            <w:r w:rsidR="00D86452">
              <w:rPr>
                <w:noProof/>
                <w:webHidden/>
              </w:rPr>
              <w:instrText xml:space="preserve"> PAGEREF _Toc69994998 \h </w:instrText>
            </w:r>
            <w:r w:rsidR="00D86452">
              <w:rPr>
                <w:noProof/>
                <w:webHidden/>
              </w:rPr>
            </w:r>
            <w:r w:rsidR="00D86452">
              <w:rPr>
                <w:noProof/>
                <w:webHidden/>
              </w:rPr>
              <w:fldChar w:fldCharType="separate"/>
            </w:r>
            <w:r w:rsidR="00D86452">
              <w:rPr>
                <w:noProof/>
                <w:webHidden/>
              </w:rPr>
              <w:t>11</w:t>
            </w:r>
            <w:r w:rsidR="00D86452">
              <w:rPr>
                <w:noProof/>
                <w:webHidden/>
              </w:rPr>
              <w:fldChar w:fldCharType="end"/>
            </w:r>
          </w:hyperlink>
        </w:p>
        <w:p w14:paraId="1CCA6385" w14:textId="06BFBE38"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4999" w:history="1">
            <w:r w:rsidR="00D86452" w:rsidRPr="00494653">
              <w:rPr>
                <w:rStyle w:val="Hyperlink"/>
                <w:noProof/>
              </w:rPr>
              <w:t>4.6</w:t>
            </w:r>
            <w:r w:rsidR="00D86452">
              <w:rPr>
                <w:rFonts w:asciiTheme="minorHAnsi" w:eastAsiaTheme="minorEastAsia" w:hAnsiTheme="minorHAnsi"/>
                <w:b w:val="0"/>
                <w:noProof/>
                <w:color w:val="auto"/>
                <w:sz w:val="22"/>
                <w:lang w:eastAsia="nl-NL"/>
              </w:rPr>
              <w:tab/>
            </w:r>
            <w:r w:rsidR="00D86452" w:rsidRPr="00494653">
              <w:rPr>
                <w:rStyle w:val="Hyperlink"/>
                <w:noProof/>
              </w:rPr>
              <w:t>Inzet LIO-docenten</w:t>
            </w:r>
            <w:r w:rsidR="00D86452">
              <w:rPr>
                <w:noProof/>
                <w:webHidden/>
              </w:rPr>
              <w:tab/>
            </w:r>
            <w:r w:rsidR="00D86452">
              <w:rPr>
                <w:noProof/>
                <w:webHidden/>
              </w:rPr>
              <w:fldChar w:fldCharType="begin"/>
            </w:r>
            <w:r w:rsidR="00D86452">
              <w:rPr>
                <w:noProof/>
                <w:webHidden/>
              </w:rPr>
              <w:instrText xml:space="preserve"> PAGEREF _Toc69994999 \h </w:instrText>
            </w:r>
            <w:r w:rsidR="00D86452">
              <w:rPr>
                <w:noProof/>
                <w:webHidden/>
              </w:rPr>
            </w:r>
            <w:r w:rsidR="00D86452">
              <w:rPr>
                <w:noProof/>
                <w:webHidden/>
              </w:rPr>
              <w:fldChar w:fldCharType="separate"/>
            </w:r>
            <w:r w:rsidR="00D86452">
              <w:rPr>
                <w:noProof/>
                <w:webHidden/>
              </w:rPr>
              <w:t>11</w:t>
            </w:r>
            <w:r w:rsidR="00D86452">
              <w:rPr>
                <w:noProof/>
                <w:webHidden/>
              </w:rPr>
              <w:fldChar w:fldCharType="end"/>
            </w:r>
          </w:hyperlink>
        </w:p>
        <w:p w14:paraId="1B58AC5A" w14:textId="073C69B4"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0" w:history="1">
            <w:r w:rsidR="00D86452" w:rsidRPr="00494653">
              <w:rPr>
                <w:rStyle w:val="Hyperlink"/>
                <w:noProof/>
              </w:rPr>
              <w:t>4.7</w:t>
            </w:r>
            <w:r w:rsidR="00D86452">
              <w:rPr>
                <w:rFonts w:asciiTheme="minorHAnsi" w:eastAsiaTheme="minorEastAsia" w:hAnsiTheme="minorHAnsi"/>
                <w:b w:val="0"/>
                <w:noProof/>
                <w:color w:val="auto"/>
                <w:sz w:val="22"/>
                <w:lang w:eastAsia="nl-NL"/>
              </w:rPr>
              <w:tab/>
            </w:r>
            <w:r w:rsidR="00D86452" w:rsidRPr="00494653">
              <w:rPr>
                <w:rStyle w:val="Hyperlink"/>
                <w:noProof/>
              </w:rPr>
              <w:t>Overige onderwerpen</w:t>
            </w:r>
            <w:r w:rsidR="00D86452">
              <w:rPr>
                <w:noProof/>
                <w:webHidden/>
              </w:rPr>
              <w:tab/>
            </w:r>
            <w:r w:rsidR="00D86452">
              <w:rPr>
                <w:noProof/>
                <w:webHidden/>
              </w:rPr>
              <w:fldChar w:fldCharType="begin"/>
            </w:r>
            <w:r w:rsidR="00D86452">
              <w:rPr>
                <w:noProof/>
                <w:webHidden/>
              </w:rPr>
              <w:instrText xml:space="preserve"> PAGEREF _Toc69995000 \h </w:instrText>
            </w:r>
            <w:r w:rsidR="00D86452">
              <w:rPr>
                <w:noProof/>
                <w:webHidden/>
              </w:rPr>
            </w:r>
            <w:r w:rsidR="00D86452">
              <w:rPr>
                <w:noProof/>
                <w:webHidden/>
              </w:rPr>
              <w:fldChar w:fldCharType="separate"/>
            </w:r>
            <w:r w:rsidR="00D86452">
              <w:rPr>
                <w:noProof/>
                <w:webHidden/>
              </w:rPr>
              <w:t>12</w:t>
            </w:r>
            <w:r w:rsidR="00D86452">
              <w:rPr>
                <w:noProof/>
                <w:webHidden/>
              </w:rPr>
              <w:fldChar w:fldCharType="end"/>
            </w:r>
          </w:hyperlink>
        </w:p>
        <w:p w14:paraId="33D8B3AA" w14:textId="1AA74689" w:rsidR="00D86452" w:rsidRDefault="0025373E" w:rsidP="00D86452">
          <w:pPr>
            <w:pStyle w:val="Inhopg1"/>
            <w:tabs>
              <w:tab w:val="left" w:pos="440"/>
              <w:tab w:val="right" w:leader="dot" w:pos="9629"/>
            </w:tabs>
            <w:rPr>
              <w:rFonts w:asciiTheme="minorHAnsi" w:eastAsiaTheme="minorEastAsia" w:hAnsiTheme="minorHAnsi"/>
              <w:b w:val="0"/>
              <w:noProof/>
              <w:color w:val="auto"/>
              <w:sz w:val="22"/>
              <w:lang w:eastAsia="nl-NL"/>
            </w:rPr>
          </w:pPr>
          <w:hyperlink w:anchor="_Toc69995001" w:history="1">
            <w:r w:rsidR="00D86452" w:rsidRPr="00494653">
              <w:rPr>
                <w:rStyle w:val="Hyperlink"/>
                <w:rFonts w:cs="Arial"/>
                <w:noProof/>
              </w:rPr>
              <w:t>5</w:t>
            </w:r>
            <w:r w:rsidR="00D86452">
              <w:rPr>
                <w:rFonts w:asciiTheme="minorHAnsi" w:eastAsiaTheme="minorEastAsia" w:hAnsiTheme="minorHAnsi"/>
                <w:b w:val="0"/>
                <w:noProof/>
                <w:color w:val="auto"/>
                <w:sz w:val="22"/>
                <w:lang w:eastAsia="nl-NL"/>
              </w:rPr>
              <w:tab/>
            </w:r>
            <w:r w:rsidR="00D86452" w:rsidRPr="00494653">
              <w:rPr>
                <w:rStyle w:val="Hyperlink"/>
                <w:rFonts w:cs="Arial"/>
                <w:noProof/>
              </w:rPr>
              <w:t>Intern formatie proces</w:t>
            </w:r>
            <w:r w:rsidR="00D86452">
              <w:rPr>
                <w:noProof/>
                <w:webHidden/>
              </w:rPr>
              <w:tab/>
            </w:r>
            <w:r w:rsidR="00D86452">
              <w:rPr>
                <w:noProof/>
                <w:webHidden/>
              </w:rPr>
              <w:fldChar w:fldCharType="begin"/>
            </w:r>
            <w:r w:rsidR="00D86452">
              <w:rPr>
                <w:noProof/>
                <w:webHidden/>
              </w:rPr>
              <w:instrText xml:space="preserve"> PAGEREF _Toc69995001 \h </w:instrText>
            </w:r>
            <w:r w:rsidR="00D86452">
              <w:rPr>
                <w:noProof/>
                <w:webHidden/>
              </w:rPr>
            </w:r>
            <w:r w:rsidR="00D86452">
              <w:rPr>
                <w:noProof/>
                <w:webHidden/>
              </w:rPr>
              <w:fldChar w:fldCharType="separate"/>
            </w:r>
            <w:r w:rsidR="00D86452">
              <w:rPr>
                <w:noProof/>
                <w:webHidden/>
              </w:rPr>
              <w:t>13</w:t>
            </w:r>
            <w:r w:rsidR="00D86452">
              <w:rPr>
                <w:noProof/>
                <w:webHidden/>
              </w:rPr>
              <w:fldChar w:fldCharType="end"/>
            </w:r>
          </w:hyperlink>
        </w:p>
        <w:p w14:paraId="1B7158BA" w14:textId="65C9C0AD"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02" w:history="1">
            <w:r w:rsidR="00D86452" w:rsidRPr="00494653">
              <w:rPr>
                <w:rStyle w:val="Hyperlink"/>
                <w:noProof/>
              </w:rPr>
              <w:t>5.1 Onderwijskundige kaders voor de formatie Kampen en Dronten</w:t>
            </w:r>
            <w:r w:rsidR="00D86452">
              <w:rPr>
                <w:noProof/>
                <w:webHidden/>
              </w:rPr>
              <w:tab/>
            </w:r>
            <w:r w:rsidR="00D86452">
              <w:rPr>
                <w:noProof/>
                <w:webHidden/>
              </w:rPr>
              <w:fldChar w:fldCharType="begin"/>
            </w:r>
            <w:r w:rsidR="00D86452">
              <w:rPr>
                <w:noProof/>
                <w:webHidden/>
              </w:rPr>
              <w:instrText xml:space="preserve"> PAGEREF _Toc69995002 \h </w:instrText>
            </w:r>
            <w:r w:rsidR="00D86452">
              <w:rPr>
                <w:noProof/>
                <w:webHidden/>
              </w:rPr>
            </w:r>
            <w:r w:rsidR="00D86452">
              <w:rPr>
                <w:noProof/>
                <w:webHidden/>
              </w:rPr>
              <w:fldChar w:fldCharType="separate"/>
            </w:r>
            <w:r w:rsidR="00D86452">
              <w:rPr>
                <w:noProof/>
                <w:webHidden/>
              </w:rPr>
              <w:t>13</w:t>
            </w:r>
            <w:r w:rsidR="00D86452">
              <w:rPr>
                <w:noProof/>
                <w:webHidden/>
              </w:rPr>
              <w:fldChar w:fldCharType="end"/>
            </w:r>
          </w:hyperlink>
        </w:p>
        <w:p w14:paraId="6665947C" w14:textId="6547E580"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03" w:history="1">
            <w:r w:rsidR="00D86452" w:rsidRPr="00494653">
              <w:rPr>
                <w:rStyle w:val="Hyperlink"/>
                <w:noProof/>
              </w:rPr>
              <w:t>5.2. Ontwikkelingen leerlingen aantallen  (IDU=Instroom, Doorstroom, Uitstroom)</w:t>
            </w:r>
            <w:r w:rsidR="00D86452">
              <w:rPr>
                <w:noProof/>
                <w:webHidden/>
              </w:rPr>
              <w:tab/>
            </w:r>
            <w:r w:rsidR="00D86452">
              <w:rPr>
                <w:noProof/>
                <w:webHidden/>
              </w:rPr>
              <w:fldChar w:fldCharType="begin"/>
            </w:r>
            <w:r w:rsidR="00D86452">
              <w:rPr>
                <w:noProof/>
                <w:webHidden/>
              </w:rPr>
              <w:instrText xml:space="preserve"> PAGEREF _Toc69995003 \h </w:instrText>
            </w:r>
            <w:r w:rsidR="00D86452">
              <w:rPr>
                <w:noProof/>
                <w:webHidden/>
              </w:rPr>
            </w:r>
            <w:r w:rsidR="00D86452">
              <w:rPr>
                <w:noProof/>
                <w:webHidden/>
              </w:rPr>
              <w:fldChar w:fldCharType="separate"/>
            </w:r>
            <w:r w:rsidR="00D86452">
              <w:rPr>
                <w:noProof/>
                <w:webHidden/>
              </w:rPr>
              <w:t>16</w:t>
            </w:r>
            <w:r w:rsidR="00D86452">
              <w:rPr>
                <w:noProof/>
                <w:webHidden/>
              </w:rPr>
              <w:fldChar w:fldCharType="end"/>
            </w:r>
          </w:hyperlink>
        </w:p>
        <w:p w14:paraId="61FE4CBC" w14:textId="30B4FCD0"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4" w:history="1">
            <w:r w:rsidR="00D86452" w:rsidRPr="00494653">
              <w:rPr>
                <w:rStyle w:val="Hyperlink"/>
                <w:rFonts w:eastAsiaTheme="majorEastAsia" w:cstheme="majorBidi"/>
                <w:noProof/>
              </w:rPr>
              <w:t>5.2.1</w:t>
            </w:r>
            <w:r w:rsidR="00D86452">
              <w:rPr>
                <w:rFonts w:asciiTheme="minorHAnsi" w:eastAsiaTheme="minorEastAsia" w:hAnsiTheme="minorHAnsi"/>
                <w:b w:val="0"/>
                <w:noProof/>
                <w:color w:val="auto"/>
                <w:sz w:val="22"/>
                <w:lang w:eastAsia="nl-NL"/>
              </w:rPr>
              <w:tab/>
            </w:r>
            <w:r w:rsidR="00D86452" w:rsidRPr="00494653">
              <w:rPr>
                <w:rStyle w:val="Hyperlink"/>
                <w:rFonts w:eastAsiaTheme="majorEastAsia" w:cstheme="majorBidi"/>
                <w:noProof/>
              </w:rPr>
              <w:t>Analyse instroom van het aantal leerlingen op ICK</w:t>
            </w:r>
            <w:r w:rsidR="00D86452">
              <w:rPr>
                <w:noProof/>
                <w:webHidden/>
              </w:rPr>
              <w:tab/>
            </w:r>
            <w:r w:rsidR="00D86452">
              <w:rPr>
                <w:noProof/>
                <w:webHidden/>
              </w:rPr>
              <w:fldChar w:fldCharType="begin"/>
            </w:r>
            <w:r w:rsidR="00D86452">
              <w:rPr>
                <w:noProof/>
                <w:webHidden/>
              </w:rPr>
              <w:instrText xml:space="preserve"> PAGEREF _Toc69995004 \h </w:instrText>
            </w:r>
            <w:r w:rsidR="00D86452">
              <w:rPr>
                <w:noProof/>
                <w:webHidden/>
              </w:rPr>
            </w:r>
            <w:r w:rsidR="00D86452">
              <w:rPr>
                <w:noProof/>
                <w:webHidden/>
              </w:rPr>
              <w:fldChar w:fldCharType="separate"/>
            </w:r>
            <w:r w:rsidR="00D86452">
              <w:rPr>
                <w:noProof/>
                <w:webHidden/>
              </w:rPr>
              <w:t>16</w:t>
            </w:r>
            <w:r w:rsidR="00D86452">
              <w:rPr>
                <w:noProof/>
                <w:webHidden/>
              </w:rPr>
              <w:fldChar w:fldCharType="end"/>
            </w:r>
          </w:hyperlink>
        </w:p>
        <w:p w14:paraId="73D2B384" w14:textId="6EBDD941"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5" w:history="1">
            <w:r w:rsidR="00D86452" w:rsidRPr="00494653">
              <w:rPr>
                <w:rStyle w:val="Hyperlink"/>
                <w:rFonts w:eastAsiaTheme="majorEastAsia" w:cstheme="majorBidi"/>
                <w:noProof/>
              </w:rPr>
              <w:t>5.2.2</w:t>
            </w:r>
            <w:r w:rsidR="00D86452">
              <w:rPr>
                <w:rFonts w:asciiTheme="minorHAnsi" w:eastAsiaTheme="minorEastAsia" w:hAnsiTheme="minorHAnsi"/>
                <w:b w:val="0"/>
                <w:noProof/>
                <w:color w:val="auto"/>
                <w:sz w:val="22"/>
                <w:lang w:eastAsia="nl-NL"/>
              </w:rPr>
              <w:tab/>
            </w:r>
            <w:r w:rsidR="00D86452" w:rsidRPr="00494653">
              <w:rPr>
                <w:rStyle w:val="Hyperlink"/>
                <w:rFonts w:eastAsiaTheme="majorEastAsia" w:cstheme="majorBidi"/>
                <w:noProof/>
              </w:rPr>
              <w:t>Analyse instroom van het aantal leerlingen op ICD</w:t>
            </w:r>
            <w:r w:rsidR="00D86452">
              <w:rPr>
                <w:noProof/>
                <w:webHidden/>
              </w:rPr>
              <w:tab/>
            </w:r>
            <w:r w:rsidR="00D86452">
              <w:rPr>
                <w:noProof/>
                <w:webHidden/>
              </w:rPr>
              <w:fldChar w:fldCharType="begin"/>
            </w:r>
            <w:r w:rsidR="00D86452">
              <w:rPr>
                <w:noProof/>
                <w:webHidden/>
              </w:rPr>
              <w:instrText xml:space="preserve"> PAGEREF _Toc69995005 \h </w:instrText>
            </w:r>
            <w:r w:rsidR="00D86452">
              <w:rPr>
                <w:noProof/>
                <w:webHidden/>
              </w:rPr>
            </w:r>
            <w:r w:rsidR="00D86452">
              <w:rPr>
                <w:noProof/>
                <w:webHidden/>
              </w:rPr>
              <w:fldChar w:fldCharType="separate"/>
            </w:r>
            <w:r w:rsidR="00D86452">
              <w:rPr>
                <w:noProof/>
                <w:webHidden/>
              </w:rPr>
              <w:t>18</w:t>
            </w:r>
            <w:r w:rsidR="00D86452">
              <w:rPr>
                <w:noProof/>
                <w:webHidden/>
              </w:rPr>
              <w:fldChar w:fldCharType="end"/>
            </w:r>
          </w:hyperlink>
        </w:p>
        <w:p w14:paraId="753DCC61" w14:textId="2D4D3393"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06" w:history="1">
            <w:r w:rsidR="00D86452" w:rsidRPr="00494653">
              <w:rPr>
                <w:rStyle w:val="Hyperlink"/>
                <w:noProof/>
              </w:rPr>
              <w:t>5.3 Risico’s &amp; aandachtspunten</w:t>
            </w:r>
            <w:r w:rsidR="00D86452">
              <w:rPr>
                <w:noProof/>
                <w:webHidden/>
              </w:rPr>
              <w:tab/>
            </w:r>
            <w:r w:rsidR="00D86452">
              <w:rPr>
                <w:noProof/>
                <w:webHidden/>
              </w:rPr>
              <w:fldChar w:fldCharType="begin"/>
            </w:r>
            <w:r w:rsidR="00D86452">
              <w:rPr>
                <w:noProof/>
                <w:webHidden/>
              </w:rPr>
              <w:instrText xml:space="preserve"> PAGEREF _Toc69995006 \h </w:instrText>
            </w:r>
            <w:r w:rsidR="00D86452">
              <w:rPr>
                <w:noProof/>
                <w:webHidden/>
              </w:rPr>
            </w:r>
            <w:r w:rsidR="00D86452">
              <w:rPr>
                <w:noProof/>
                <w:webHidden/>
              </w:rPr>
              <w:fldChar w:fldCharType="separate"/>
            </w:r>
            <w:r w:rsidR="00D86452">
              <w:rPr>
                <w:noProof/>
                <w:webHidden/>
              </w:rPr>
              <w:t>19</w:t>
            </w:r>
            <w:r w:rsidR="00D86452">
              <w:rPr>
                <w:noProof/>
                <w:webHidden/>
              </w:rPr>
              <w:fldChar w:fldCharType="end"/>
            </w:r>
          </w:hyperlink>
        </w:p>
        <w:p w14:paraId="5ED6A823" w14:textId="05E2E4EC"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7" w:history="1">
            <w:r w:rsidR="00D86452" w:rsidRPr="00494653">
              <w:rPr>
                <w:rStyle w:val="Hyperlink"/>
                <w:noProof/>
              </w:rPr>
              <w:t>5.4</w:t>
            </w:r>
            <w:r w:rsidR="00D86452">
              <w:rPr>
                <w:rFonts w:asciiTheme="minorHAnsi" w:eastAsiaTheme="minorEastAsia" w:hAnsiTheme="minorHAnsi"/>
                <w:b w:val="0"/>
                <w:noProof/>
                <w:color w:val="auto"/>
                <w:sz w:val="22"/>
                <w:lang w:eastAsia="nl-NL"/>
              </w:rPr>
              <w:tab/>
            </w:r>
            <w:r w:rsidR="00D86452" w:rsidRPr="00494653">
              <w:rPr>
                <w:rStyle w:val="Hyperlink"/>
                <w:noProof/>
              </w:rPr>
              <w:t>Voorziene natuurlijke uitstroom</w:t>
            </w:r>
            <w:r w:rsidR="00D86452">
              <w:rPr>
                <w:noProof/>
                <w:webHidden/>
              </w:rPr>
              <w:tab/>
            </w:r>
            <w:r w:rsidR="00D86452">
              <w:rPr>
                <w:noProof/>
                <w:webHidden/>
              </w:rPr>
              <w:fldChar w:fldCharType="begin"/>
            </w:r>
            <w:r w:rsidR="00D86452">
              <w:rPr>
                <w:noProof/>
                <w:webHidden/>
              </w:rPr>
              <w:instrText xml:space="preserve"> PAGEREF _Toc69995007 \h </w:instrText>
            </w:r>
            <w:r w:rsidR="00D86452">
              <w:rPr>
                <w:noProof/>
                <w:webHidden/>
              </w:rPr>
            </w:r>
            <w:r w:rsidR="00D86452">
              <w:rPr>
                <w:noProof/>
                <w:webHidden/>
              </w:rPr>
              <w:fldChar w:fldCharType="separate"/>
            </w:r>
            <w:r w:rsidR="00D86452">
              <w:rPr>
                <w:noProof/>
                <w:webHidden/>
              </w:rPr>
              <w:t>20</w:t>
            </w:r>
            <w:r w:rsidR="00D86452">
              <w:rPr>
                <w:noProof/>
                <w:webHidden/>
              </w:rPr>
              <w:fldChar w:fldCharType="end"/>
            </w:r>
          </w:hyperlink>
        </w:p>
        <w:p w14:paraId="6BFD2D24" w14:textId="3C7B0955"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8" w:history="1">
            <w:r w:rsidR="00D86452" w:rsidRPr="00494653">
              <w:rPr>
                <w:rStyle w:val="Hyperlink"/>
                <w:noProof/>
              </w:rPr>
              <w:t>5.5</w:t>
            </w:r>
            <w:r w:rsidR="00D86452">
              <w:rPr>
                <w:rFonts w:asciiTheme="minorHAnsi" w:eastAsiaTheme="minorEastAsia" w:hAnsiTheme="minorHAnsi"/>
                <w:b w:val="0"/>
                <w:noProof/>
                <w:color w:val="auto"/>
                <w:sz w:val="22"/>
                <w:lang w:eastAsia="nl-NL"/>
              </w:rPr>
              <w:tab/>
            </w:r>
            <w:r w:rsidR="00D86452" w:rsidRPr="00494653">
              <w:rPr>
                <w:rStyle w:val="Hyperlink"/>
                <w:noProof/>
              </w:rPr>
              <w:t>Voorziene uitstroom OOP</w:t>
            </w:r>
            <w:r w:rsidR="00D86452">
              <w:rPr>
                <w:noProof/>
                <w:webHidden/>
              </w:rPr>
              <w:tab/>
            </w:r>
            <w:r w:rsidR="00D86452">
              <w:rPr>
                <w:noProof/>
                <w:webHidden/>
              </w:rPr>
              <w:fldChar w:fldCharType="begin"/>
            </w:r>
            <w:r w:rsidR="00D86452">
              <w:rPr>
                <w:noProof/>
                <w:webHidden/>
              </w:rPr>
              <w:instrText xml:space="preserve"> PAGEREF _Toc69995008 \h </w:instrText>
            </w:r>
            <w:r w:rsidR="00D86452">
              <w:rPr>
                <w:noProof/>
                <w:webHidden/>
              </w:rPr>
            </w:r>
            <w:r w:rsidR="00D86452">
              <w:rPr>
                <w:noProof/>
                <w:webHidden/>
              </w:rPr>
              <w:fldChar w:fldCharType="separate"/>
            </w:r>
            <w:r w:rsidR="00D86452">
              <w:rPr>
                <w:noProof/>
                <w:webHidden/>
              </w:rPr>
              <w:t>20</w:t>
            </w:r>
            <w:r w:rsidR="00D86452">
              <w:rPr>
                <w:noProof/>
                <w:webHidden/>
              </w:rPr>
              <w:fldChar w:fldCharType="end"/>
            </w:r>
          </w:hyperlink>
        </w:p>
        <w:p w14:paraId="6AB9A387" w14:textId="08D172A0"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09" w:history="1">
            <w:r w:rsidR="00D86452" w:rsidRPr="00494653">
              <w:rPr>
                <w:rStyle w:val="Hyperlink"/>
                <w:noProof/>
              </w:rPr>
              <w:t>5.6</w:t>
            </w:r>
            <w:r w:rsidR="00D86452">
              <w:rPr>
                <w:rFonts w:asciiTheme="minorHAnsi" w:eastAsiaTheme="minorEastAsia" w:hAnsiTheme="minorHAnsi"/>
                <w:b w:val="0"/>
                <w:noProof/>
                <w:color w:val="auto"/>
                <w:sz w:val="22"/>
                <w:lang w:eastAsia="nl-NL"/>
              </w:rPr>
              <w:tab/>
            </w:r>
            <w:r w:rsidR="00D86452" w:rsidRPr="00494653">
              <w:rPr>
                <w:rStyle w:val="Hyperlink"/>
                <w:noProof/>
              </w:rPr>
              <w:t>Voorziene uitstroom docenten</w:t>
            </w:r>
            <w:r w:rsidR="00D86452">
              <w:rPr>
                <w:noProof/>
                <w:webHidden/>
              </w:rPr>
              <w:tab/>
            </w:r>
            <w:r w:rsidR="00D86452">
              <w:rPr>
                <w:noProof/>
                <w:webHidden/>
              </w:rPr>
              <w:fldChar w:fldCharType="begin"/>
            </w:r>
            <w:r w:rsidR="00D86452">
              <w:rPr>
                <w:noProof/>
                <w:webHidden/>
              </w:rPr>
              <w:instrText xml:space="preserve"> PAGEREF _Toc69995009 \h </w:instrText>
            </w:r>
            <w:r w:rsidR="00D86452">
              <w:rPr>
                <w:noProof/>
                <w:webHidden/>
              </w:rPr>
            </w:r>
            <w:r w:rsidR="00D86452">
              <w:rPr>
                <w:noProof/>
                <w:webHidden/>
              </w:rPr>
              <w:fldChar w:fldCharType="separate"/>
            </w:r>
            <w:r w:rsidR="00D86452">
              <w:rPr>
                <w:noProof/>
                <w:webHidden/>
              </w:rPr>
              <w:t>20</w:t>
            </w:r>
            <w:r w:rsidR="00D86452">
              <w:rPr>
                <w:noProof/>
                <w:webHidden/>
              </w:rPr>
              <w:fldChar w:fldCharType="end"/>
            </w:r>
          </w:hyperlink>
        </w:p>
        <w:p w14:paraId="6EC37025" w14:textId="55E9D18D"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10" w:history="1">
            <w:r w:rsidR="00D86452" w:rsidRPr="00494653">
              <w:rPr>
                <w:rStyle w:val="Hyperlink"/>
                <w:noProof/>
              </w:rPr>
              <w:t>5.7</w:t>
            </w:r>
            <w:r w:rsidR="00D86452">
              <w:rPr>
                <w:rFonts w:asciiTheme="minorHAnsi" w:eastAsiaTheme="minorEastAsia" w:hAnsiTheme="minorHAnsi"/>
                <w:b w:val="0"/>
                <w:noProof/>
                <w:color w:val="auto"/>
                <w:sz w:val="22"/>
                <w:lang w:eastAsia="nl-NL"/>
              </w:rPr>
              <w:tab/>
            </w:r>
            <w:r w:rsidR="00D86452" w:rsidRPr="00494653">
              <w:rPr>
                <w:rStyle w:val="Hyperlink"/>
                <w:noProof/>
              </w:rPr>
              <w:t>Benchmark OOP Stichting</w:t>
            </w:r>
            <w:r w:rsidR="00D86452">
              <w:rPr>
                <w:noProof/>
                <w:webHidden/>
              </w:rPr>
              <w:tab/>
            </w:r>
            <w:r w:rsidR="00D86452">
              <w:rPr>
                <w:noProof/>
                <w:webHidden/>
              </w:rPr>
              <w:fldChar w:fldCharType="begin"/>
            </w:r>
            <w:r w:rsidR="00D86452">
              <w:rPr>
                <w:noProof/>
                <w:webHidden/>
              </w:rPr>
              <w:instrText xml:space="preserve"> PAGEREF _Toc69995010 \h </w:instrText>
            </w:r>
            <w:r w:rsidR="00D86452">
              <w:rPr>
                <w:noProof/>
                <w:webHidden/>
              </w:rPr>
            </w:r>
            <w:r w:rsidR="00D86452">
              <w:rPr>
                <w:noProof/>
                <w:webHidden/>
              </w:rPr>
              <w:fldChar w:fldCharType="separate"/>
            </w:r>
            <w:r w:rsidR="00D86452">
              <w:rPr>
                <w:noProof/>
                <w:webHidden/>
              </w:rPr>
              <w:t>20</w:t>
            </w:r>
            <w:r w:rsidR="00D86452">
              <w:rPr>
                <w:noProof/>
                <w:webHidden/>
              </w:rPr>
              <w:fldChar w:fldCharType="end"/>
            </w:r>
          </w:hyperlink>
        </w:p>
        <w:p w14:paraId="5AB2302E" w14:textId="5F7FBA1D"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11" w:history="1">
            <w:r w:rsidR="00D86452" w:rsidRPr="00494653">
              <w:rPr>
                <w:rStyle w:val="Hyperlink"/>
                <w:noProof/>
              </w:rPr>
              <w:t>5.8</w:t>
            </w:r>
            <w:r w:rsidR="00D86452">
              <w:rPr>
                <w:rFonts w:asciiTheme="minorHAnsi" w:eastAsiaTheme="minorEastAsia" w:hAnsiTheme="minorHAnsi"/>
                <w:b w:val="0"/>
                <w:noProof/>
                <w:color w:val="auto"/>
                <w:sz w:val="22"/>
                <w:lang w:eastAsia="nl-NL"/>
              </w:rPr>
              <w:tab/>
            </w:r>
            <w:r w:rsidR="00D86452" w:rsidRPr="00494653">
              <w:rPr>
                <w:rStyle w:val="Hyperlink"/>
                <w:noProof/>
              </w:rPr>
              <w:t>Tijdelijken &amp; uitzendkrachten</w:t>
            </w:r>
            <w:r w:rsidR="00D86452">
              <w:rPr>
                <w:noProof/>
                <w:webHidden/>
              </w:rPr>
              <w:tab/>
            </w:r>
            <w:r w:rsidR="00D86452">
              <w:rPr>
                <w:noProof/>
                <w:webHidden/>
              </w:rPr>
              <w:fldChar w:fldCharType="begin"/>
            </w:r>
            <w:r w:rsidR="00D86452">
              <w:rPr>
                <w:noProof/>
                <w:webHidden/>
              </w:rPr>
              <w:instrText xml:space="preserve"> PAGEREF _Toc69995011 \h </w:instrText>
            </w:r>
            <w:r w:rsidR="00D86452">
              <w:rPr>
                <w:noProof/>
                <w:webHidden/>
              </w:rPr>
            </w:r>
            <w:r w:rsidR="00D86452">
              <w:rPr>
                <w:noProof/>
                <w:webHidden/>
              </w:rPr>
              <w:fldChar w:fldCharType="separate"/>
            </w:r>
            <w:r w:rsidR="00D86452">
              <w:rPr>
                <w:noProof/>
                <w:webHidden/>
              </w:rPr>
              <w:t>21</w:t>
            </w:r>
            <w:r w:rsidR="00D86452">
              <w:rPr>
                <w:noProof/>
                <w:webHidden/>
              </w:rPr>
              <w:fldChar w:fldCharType="end"/>
            </w:r>
          </w:hyperlink>
        </w:p>
        <w:p w14:paraId="00EF2E8E" w14:textId="456BDBF1"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12" w:history="1">
            <w:r w:rsidR="00D86452" w:rsidRPr="00494653">
              <w:rPr>
                <w:rStyle w:val="Hyperlink"/>
                <w:noProof/>
              </w:rPr>
              <w:t>5.9</w:t>
            </w:r>
            <w:r w:rsidR="00D86452">
              <w:rPr>
                <w:rFonts w:asciiTheme="minorHAnsi" w:eastAsiaTheme="minorEastAsia" w:hAnsiTheme="minorHAnsi"/>
                <w:b w:val="0"/>
                <w:noProof/>
                <w:color w:val="auto"/>
                <w:sz w:val="22"/>
                <w:lang w:eastAsia="nl-NL"/>
              </w:rPr>
              <w:tab/>
            </w:r>
            <w:r w:rsidR="00D86452" w:rsidRPr="00494653">
              <w:rPr>
                <w:rStyle w:val="Hyperlink"/>
                <w:noProof/>
              </w:rPr>
              <w:t>Functiemix binnen de Stichting en eenheid (zie ook hoofdstuk 4.1)</w:t>
            </w:r>
            <w:r w:rsidR="00D86452">
              <w:rPr>
                <w:noProof/>
                <w:webHidden/>
              </w:rPr>
              <w:tab/>
            </w:r>
            <w:r w:rsidR="00D86452">
              <w:rPr>
                <w:noProof/>
                <w:webHidden/>
              </w:rPr>
              <w:fldChar w:fldCharType="begin"/>
            </w:r>
            <w:r w:rsidR="00D86452">
              <w:rPr>
                <w:noProof/>
                <w:webHidden/>
              </w:rPr>
              <w:instrText xml:space="preserve"> PAGEREF _Toc69995012 \h </w:instrText>
            </w:r>
            <w:r w:rsidR="00D86452">
              <w:rPr>
                <w:noProof/>
                <w:webHidden/>
              </w:rPr>
            </w:r>
            <w:r w:rsidR="00D86452">
              <w:rPr>
                <w:noProof/>
                <w:webHidden/>
              </w:rPr>
              <w:fldChar w:fldCharType="separate"/>
            </w:r>
            <w:r w:rsidR="00D86452">
              <w:rPr>
                <w:noProof/>
                <w:webHidden/>
              </w:rPr>
              <w:t>22</w:t>
            </w:r>
            <w:r w:rsidR="00D86452">
              <w:rPr>
                <w:noProof/>
                <w:webHidden/>
              </w:rPr>
              <w:fldChar w:fldCharType="end"/>
            </w:r>
          </w:hyperlink>
        </w:p>
        <w:p w14:paraId="72D9A8E4" w14:textId="252CF493" w:rsidR="00D86452" w:rsidRDefault="0025373E" w:rsidP="00D86452">
          <w:pPr>
            <w:pStyle w:val="Inhopg1"/>
            <w:tabs>
              <w:tab w:val="left" w:pos="440"/>
              <w:tab w:val="right" w:leader="dot" w:pos="9629"/>
            </w:tabs>
            <w:rPr>
              <w:rFonts w:asciiTheme="minorHAnsi" w:eastAsiaTheme="minorEastAsia" w:hAnsiTheme="minorHAnsi"/>
              <w:b w:val="0"/>
              <w:noProof/>
              <w:color w:val="auto"/>
              <w:sz w:val="22"/>
              <w:lang w:eastAsia="nl-NL"/>
            </w:rPr>
          </w:pPr>
          <w:hyperlink w:anchor="_Toc69995013" w:history="1">
            <w:r w:rsidR="00D86452" w:rsidRPr="00494653">
              <w:rPr>
                <w:rStyle w:val="Hyperlink"/>
                <w:rFonts w:cs="Arial"/>
                <w:noProof/>
              </w:rPr>
              <w:t>6</w:t>
            </w:r>
            <w:r w:rsidR="00D86452">
              <w:rPr>
                <w:rFonts w:asciiTheme="minorHAnsi" w:eastAsiaTheme="minorEastAsia" w:hAnsiTheme="minorHAnsi"/>
                <w:b w:val="0"/>
                <w:noProof/>
                <w:color w:val="auto"/>
                <w:sz w:val="22"/>
                <w:lang w:eastAsia="nl-NL"/>
              </w:rPr>
              <w:tab/>
            </w:r>
            <w:r w:rsidR="00D86452" w:rsidRPr="00494653">
              <w:rPr>
                <w:rStyle w:val="Hyperlink"/>
                <w:rFonts w:cs="Arial"/>
                <w:noProof/>
              </w:rPr>
              <w:t>Algemene kaders van het formatieplan</w:t>
            </w:r>
            <w:r w:rsidR="00D86452">
              <w:rPr>
                <w:noProof/>
                <w:webHidden/>
              </w:rPr>
              <w:tab/>
            </w:r>
            <w:r w:rsidR="00D86452">
              <w:rPr>
                <w:noProof/>
                <w:webHidden/>
              </w:rPr>
              <w:fldChar w:fldCharType="begin"/>
            </w:r>
            <w:r w:rsidR="00D86452">
              <w:rPr>
                <w:noProof/>
                <w:webHidden/>
              </w:rPr>
              <w:instrText xml:space="preserve"> PAGEREF _Toc69995013 \h </w:instrText>
            </w:r>
            <w:r w:rsidR="00D86452">
              <w:rPr>
                <w:noProof/>
                <w:webHidden/>
              </w:rPr>
            </w:r>
            <w:r w:rsidR="00D86452">
              <w:rPr>
                <w:noProof/>
                <w:webHidden/>
              </w:rPr>
              <w:fldChar w:fldCharType="separate"/>
            </w:r>
            <w:r w:rsidR="00D86452">
              <w:rPr>
                <w:noProof/>
                <w:webHidden/>
              </w:rPr>
              <w:t>23</w:t>
            </w:r>
            <w:r w:rsidR="00D86452">
              <w:rPr>
                <w:noProof/>
                <w:webHidden/>
              </w:rPr>
              <w:fldChar w:fldCharType="end"/>
            </w:r>
          </w:hyperlink>
        </w:p>
        <w:p w14:paraId="23313296" w14:textId="528D1B85"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14" w:history="1">
            <w:r w:rsidR="00D86452" w:rsidRPr="00494653">
              <w:rPr>
                <w:rStyle w:val="Hyperlink"/>
                <w:noProof/>
              </w:rPr>
              <w:t>6.1 Uitkomsten formatieproces (fte / EURO)</w:t>
            </w:r>
            <w:r w:rsidR="00D86452">
              <w:rPr>
                <w:noProof/>
                <w:webHidden/>
              </w:rPr>
              <w:tab/>
            </w:r>
            <w:r w:rsidR="00D86452">
              <w:rPr>
                <w:noProof/>
                <w:webHidden/>
              </w:rPr>
              <w:fldChar w:fldCharType="begin"/>
            </w:r>
            <w:r w:rsidR="00D86452">
              <w:rPr>
                <w:noProof/>
                <w:webHidden/>
              </w:rPr>
              <w:instrText xml:space="preserve"> PAGEREF _Toc69995014 \h </w:instrText>
            </w:r>
            <w:r w:rsidR="00D86452">
              <w:rPr>
                <w:noProof/>
                <w:webHidden/>
              </w:rPr>
            </w:r>
            <w:r w:rsidR="00D86452">
              <w:rPr>
                <w:noProof/>
                <w:webHidden/>
              </w:rPr>
              <w:fldChar w:fldCharType="separate"/>
            </w:r>
            <w:r w:rsidR="00D86452">
              <w:rPr>
                <w:noProof/>
                <w:webHidden/>
              </w:rPr>
              <w:t>23</w:t>
            </w:r>
            <w:r w:rsidR="00D86452">
              <w:rPr>
                <w:noProof/>
                <w:webHidden/>
              </w:rPr>
              <w:fldChar w:fldCharType="end"/>
            </w:r>
          </w:hyperlink>
        </w:p>
        <w:p w14:paraId="316E57F8" w14:textId="17E6142D"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15" w:history="1">
            <w:r w:rsidR="00D86452" w:rsidRPr="00494653">
              <w:rPr>
                <w:rStyle w:val="Hyperlink"/>
                <w:noProof/>
              </w:rPr>
              <w:t>Geactualiseerde prognose leerlingenaantal</w:t>
            </w:r>
            <w:r w:rsidR="00D86452">
              <w:rPr>
                <w:noProof/>
                <w:webHidden/>
              </w:rPr>
              <w:tab/>
            </w:r>
            <w:r w:rsidR="00D86452">
              <w:rPr>
                <w:noProof/>
                <w:webHidden/>
              </w:rPr>
              <w:fldChar w:fldCharType="begin"/>
            </w:r>
            <w:r w:rsidR="00D86452">
              <w:rPr>
                <w:noProof/>
                <w:webHidden/>
              </w:rPr>
              <w:instrText xml:space="preserve"> PAGEREF _Toc69995015 \h </w:instrText>
            </w:r>
            <w:r w:rsidR="00D86452">
              <w:rPr>
                <w:noProof/>
                <w:webHidden/>
              </w:rPr>
            </w:r>
            <w:r w:rsidR="00D86452">
              <w:rPr>
                <w:noProof/>
                <w:webHidden/>
              </w:rPr>
              <w:fldChar w:fldCharType="separate"/>
            </w:r>
            <w:r w:rsidR="00D86452">
              <w:rPr>
                <w:noProof/>
                <w:webHidden/>
              </w:rPr>
              <w:t>23</w:t>
            </w:r>
            <w:r w:rsidR="00D86452">
              <w:rPr>
                <w:noProof/>
                <w:webHidden/>
              </w:rPr>
              <w:fldChar w:fldCharType="end"/>
            </w:r>
          </w:hyperlink>
        </w:p>
        <w:p w14:paraId="713196C3" w14:textId="12CFF2E2"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16" w:history="1">
            <w:r w:rsidR="00D86452" w:rsidRPr="00494653">
              <w:rPr>
                <w:rStyle w:val="Hyperlink"/>
                <w:noProof/>
              </w:rPr>
              <w:t>6.2 Bijgestelde formatiebudgetten per (sub)eenheid</w:t>
            </w:r>
            <w:r w:rsidR="00D86452">
              <w:rPr>
                <w:noProof/>
                <w:webHidden/>
              </w:rPr>
              <w:tab/>
            </w:r>
            <w:r w:rsidR="00D86452">
              <w:rPr>
                <w:noProof/>
                <w:webHidden/>
              </w:rPr>
              <w:fldChar w:fldCharType="begin"/>
            </w:r>
            <w:r w:rsidR="00D86452">
              <w:rPr>
                <w:noProof/>
                <w:webHidden/>
              </w:rPr>
              <w:instrText xml:space="preserve"> PAGEREF _Toc69995016 \h </w:instrText>
            </w:r>
            <w:r w:rsidR="00D86452">
              <w:rPr>
                <w:noProof/>
                <w:webHidden/>
              </w:rPr>
            </w:r>
            <w:r w:rsidR="00D86452">
              <w:rPr>
                <w:noProof/>
                <w:webHidden/>
              </w:rPr>
              <w:fldChar w:fldCharType="separate"/>
            </w:r>
            <w:r w:rsidR="00D86452">
              <w:rPr>
                <w:noProof/>
                <w:webHidden/>
              </w:rPr>
              <w:t>23</w:t>
            </w:r>
            <w:r w:rsidR="00D86452">
              <w:rPr>
                <w:noProof/>
                <w:webHidden/>
              </w:rPr>
              <w:fldChar w:fldCharType="end"/>
            </w:r>
          </w:hyperlink>
        </w:p>
        <w:p w14:paraId="1671B698" w14:textId="3F80AB13"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17" w:history="1">
            <w:r w:rsidR="00D86452" w:rsidRPr="00494653">
              <w:rPr>
                <w:rStyle w:val="Hyperlink"/>
                <w:noProof/>
              </w:rPr>
              <w:t>6.3 Stand van zaken formatieproces</w:t>
            </w:r>
            <w:r w:rsidR="00D86452">
              <w:rPr>
                <w:noProof/>
                <w:webHidden/>
              </w:rPr>
              <w:tab/>
            </w:r>
            <w:r w:rsidR="00D86452">
              <w:rPr>
                <w:noProof/>
                <w:webHidden/>
              </w:rPr>
              <w:fldChar w:fldCharType="begin"/>
            </w:r>
            <w:r w:rsidR="00D86452">
              <w:rPr>
                <w:noProof/>
                <w:webHidden/>
              </w:rPr>
              <w:instrText xml:space="preserve"> PAGEREF _Toc69995017 \h </w:instrText>
            </w:r>
            <w:r w:rsidR="00D86452">
              <w:rPr>
                <w:noProof/>
                <w:webHidden/>
              </w:rPr>
            </w:r>
            <w:r w:rsidR="00D86452">
              <w:rPr>
                <w:noProof/>
                <w:webHidden/>
              </w:rPr>
              <w:fldChar w:fldCharType="separate"/>
            </w:r>
            <w:r w:rsidR="00D86452">
              <w:rPr>
                <w:noProof/>
                <w:webHidden/>
              </w:rPr>
              <w:t>24</w:t>
            </w:r>
            <w:r w:rsidR="00D86452">
              <w:rPr>
                <w:noProof/>
                <w:webHidden/>
              </w:rPr>
              <w:fldChar w:fldCharType="end"/>
            </w:r>
          </w:hyperlink>
        </w:p>
        <w:p w14:paraId="2376B385" w14:textId="3D671102" w:rsidR="00D86452" w:rsidRDefault="0025373E" w:rsidP="00D86452">
          <w:pPr>
            <w:pStyle w:val="Inhopg2"/>
            <w:tabs>
              <w:tab w:val="left" w:pos="880"/>
              <w:tab w:val="right" w:leader="dot" w:pos="9629"/>
            </w:tabs>
            <w:rPr>
              <w:rFonts w:asciiTheme="minorHAnsi" w:eastAsiaTheme="minorEastAsia" w:hAnsiTheme="minorHAnsi"/>
              <w:b w:val="0"/>
              <w:noProof/>
              <w:color w:val="auto"/>
              <w:sz w:val="22"/>
              <w:lang w:eastAsia="nl-NL"/>
            </w:rPr>
          </w:pPr>
          <w:hyperlink w:anchor="_Toc69995018" w:history="1">
            <w:r w:rsidR="00D86452" w:rsidRPr="00494653">
              <w:rPr>
                <w:rStyle w:val="Hyperlink"/>
                <w:noProof/>
              </w:rPr>
              <w:t>6.4</w:t>
            </w:r>
            <w:r w:rsidR="00D86452">
              <w:rPr>
                <w:rFonts w:asciiTheme="minorHAnsi" w:eastAsiaTheme="minorEastAsia" w:hAnsiTheme="minorHAnsi"/>
                <w:b w:val="0"/>
                <w:noProof/>
                <w:color w:val="auto"/>
                <w:sz w:val="22"/>
                <w:lang w:eastAsia="nl-NL"/>
              </w:rPr>
              <w:tab/>
            </w:r>
            <w:r w:rsidR="00D86452" w:rsidRPr="00494653">
              <w:rPr>
                <w:rStyle w:val="Hyperlink"/>
                <w:noProof/>
              </w:rPr>
              <w:t>Overzicht resultaat financieel verbeterplan (indien van toepassing)</w:t>
            </w:r>
            <w:r w:rsidR="00D86452">
              <w:rPr>
                <w:noProof/>
                <w:webHidden/>
              </w:rPr>
              <w:tab/>
            </w:r>
            <w:r w:rsidR="00D86452">
              <w:rPr>
                <w:noProof/>
                <w:webHidden/>
              </w:rPr>
              <w:fldChar w:fldCharType="begin"/>
            </w:r>
            <w:r w:rsidR="00D86452">
              <w:rPr>
                <w:noProof/>
                <w:webHidden/>
              </w:rPr>
              <w:instrText xml:space="preserve"> PAGEREF _Toc69995018 \h </w:instrText>
            </w:r>
            <w:r w:rsidR="00D86452">
              <w:rPr>
                <w:noProof/>
                <w:webHidden/>
              </w:rPr>
            </w:r>
            <w:r w:rsidR="00D86452">
              <w:rPr>
                <w:noProof/>
                <w:webHidden/>
              </w:rPr>
              <w:fldChar w:fldCharType="separate"/>
            </w:r>
            <w:r w:rsidR="00D86452">
              <w:rPr>
                <w:noProof/>
                <w:webHidden/>
              </w:rPr>
              <w:t>25</w:t>
            </w:r>
            <w:r w:rsidR="00D86452">
              <w:rPr>
                <w:noProof/>
                <w:webHidden/>
              </w:rPr>
              <w:fldChar w:fldCharType="end"/>
            </w:r>
          </w:hyperlink>
        </w:p>
        <w:p w14:paraId="1BD1C80A" w14:textId="02D1D69C" w:rsidR="00D86452" w:rsidRDefault="0025373E" w:rsidP="00D86452">
          <w:pPr>
            <w:pStyle w:val="Inhopg2"/>
            <w:tabs>
              <w:tab w:val="right" w:leader="dot" w:pos="9629"/>
            </w:tabs>
            <w:rPr>
              <w:rFonts w:asciiTheme="minorHAnsi" w:eastAsiaTheme="minorEastAsia" w:hAnsiTheme="minorHAnsi"/>
              <w:b w:val="0"/>
              <w:noProof/>
              <w:color w:val="auto"/>
              <w:sz w:val="22"/>
              <w:lang w:eastAsia="nl-NL"/>
            </w:rPr>
          </w:pPr>
          <w:hyperlink w:anchor="_Toc69995019" w:history="1">
            <w:r w:rsidR="00D86452" w:rsidRPr="00494653">
              <w:rPr>
                <w:rStyle w:val="Hyperlink"/>
                <w:noProof/>
              </w:rPr>
              <w:t>Bijlagen:</w:t>
            </w:r>
            <w:r w:rsidR="00D86452">
              <w:rPr>
                <w:noProof/>
                <w:webHidden/>
              </w:rPr>
              <w:tab/>
            </w:r>
            <w:r w:rsidR="00D86452">
              <w:rPr>
                <w:noProof/>
                <w:webHidden/>
              </w:rPr>
              <w:fldChar w:fldCharType="begin"/>
            </w:r>
            <w:r w:rsidR="00D86452">
              <w:rPr>
                <w:noProof/>
                <w:webHidden/>
              </w:rPr>
              <w:instrText xml:space="preserve"> PAGEREF _Toc69995019 \h </w:instrText>
            </w:r>
            <w:r w:rsidR="00D86452">
              <w:rPr>
                <w:noProof/>
                <w:webHidden/>
              </w:rPr>
            </w:r>
            <w:r w:rsidR="00D86452">
              <w:rPr>
                <w:noProof/>
                <w:webHidden/>
              </w:rPr>
              <w:fldChar w:fldCharType="separate"/>
            </w:r>
            <w:r w:rsidR="00D86452">
              <w:rPr>
                <w:noProof/>
                <w:webHidden/>
              </w:rPr>
              <w:t>25</w:t>
            </w:r>
            <w:r w:rsidR="00D86452">
              <w:rPr>
                <w:noProof/>
                <w:webHidden/>
              </w:rPr>
              <w:fldChar w:fldCharType="end"/>
            </w:r>
          </w:hyperlink>
        </w:p>
        <w:p w14:paraId="4E5BCB7C" w14:textId="2750B3AF" w:rsidR="00D86452" w:rsidRDefault="00D86452" w:rsidP="00D86452">
          <w:r>
            <w:rPr>
              <w:b/>
              <w:bCs/>
            </w:rPr>
            <w:fldChar w:fldCharType="end"/>
          </w:r>
        </w:p>
      </w:sdtContent>
    </w:sdt>
    <w:p w14:paraId="60E7377C" w14:textId="46F131FB" w:rsidR="00D86452" w:rsidRDefault="00D86452">
      <w:pPr>
        <w:spacing w:after="160" w:line="259" w:lineRule="auto"/>
        <w:rPr>
          <w:color w:val="2F5496"/>
        </w:rPr>
      </w:pPr>
      <w:r>
        <w:rPr>
          <w:color w:val="2F5496"/>
        </w:rPr>
        <w:br w:type="page"/>
      </w:r>
    </w:p>
    <w:p w14:paraId="2E173616" w14:textId="77777777" w:rsidR="00D86452" w:rsidRDefault="00D86452" w:rsidP="000D4CDD">
      <w:pPr>
        <w:rPr>
          <w:color w:val="2F5496"/>
        </w:rPr>
      </w:pPr>
    </w:p>
    <w:p w14:paraId="10FE4160" w14:textId="77777777" w:rsidR="002038D4" w:rsidRDefault="002038D4" w:rsidP="005A4B0C">
      <w:pPr>
        <w:pStyle w:val="Kop1"/>
        <w:keepLines w:val="0"/>
        <w:numPr>
          <w:ilvl w:val="0"/>
          <w:numId w:val="2"/>
        </w:numPr>
        <w:spacing w:before="120" w:after="240"/>
        <w:rPr>
          <w:rFonts w:cs="Arial"/>
          <w:color w:val="2F5496"/>
        </w:rPr>
      </w:pPr>
      <w:bookmarkStart w:id="0" w:name="_Toc462147470"/>
      <w:bookmarkStart w:id="1" w:name="_Toc69994984"/>
      <w:r w:rsidRPr="00EE32BD">
        <w:rPr>
          <w:rFonts w:cs="Arial"/>
          <w:color w:val="2F5496"/>
        </w:rPr>
        <w:t>Voorwoord</w:t>
      </w:r>
      <w:bookmarkEnd w:id="0"/>
      <w:bookmarkEnd w:id="1"/>
    </w:p>
    <w:p w14:paraId="051EC291" w14:textId="77777777" w:rsidR="00DC6534" w:rsidRPr="00E87F12" w:rsidRDefault="00DC6534" w:rsidP="00DC6534">
      <w:pPr>
        <w:spacing w:line="298" w:lineRule="auto"/>
        <w:rPr>
          <w:szCs w:val="20"/>
        </w:rPr>
      </w:pPr>
      <w:r>
        <w:rPr>
          <w:szCs w:val="20"/>
        </w:rPr>
        <w:t>D</w:t>
      </w:r>
      <w:r w:rsidRPr="00E87F12">
        <w:rPr>
          <w:szCs w:val="20"/>
        </w:rPr>
        <w:t>it formatieplan is van toepassing op de Stichting Ichthus College (02VB).</w:t>
      </w:r>
    </w:p>
    <w:p w14:paraId="081ADB1E" w14:textId="77777777" w:rsidR="00DC6534" w:rsidRPr="00E87F12" w:rsidRDefault="00DC6534" w:rsidP="00DC6534">
      <w:pPr>
        <w:spacing w:after="39" w:line="298" w:lineRule="auto"/>
        <w:rPr>
          <w:szCs w:val="20"/>
        </w:rPr>
      </w:pPr>
      <w:r w:rsidRPr="00E87F12">
        <w:rPr>
          <w:szCs w:val="20"/>
        </w:rPr>
        <w:t xml:space="preserve"> </w:t>
      </w:r>
    </w:p>
    <w:p w14:paraId="0954C859" w14:textId="78BE5E60" w:rsidR="00DC6534" w:rsidRPr="00E87F12" w:rsidRDefault="00DC6534" w:rsidP="00DC6534">
      <w:pPr>
        <w:spacing w:line="298" w:lineRule="auto"/>
        <w:ind w:left="-5"/>
        <w:rPr>
          <w:szCs w:val="20"/>
        </w:rPr>
      </w:pPr>
      <w:r w:rsidRPr="00E87F12">
        <w:rPr>
          <w:szCs w:val="20"/>
        </w:rPr>
        <w:t>Het formatieplan beschrijft de formatiekaders voor het schooljaar 202</w:t>
      </w:r>
      <w:r>
        <w:rPr>
          <w:szCs w:val="20"/>
        </w:rPr>
        <w:t>1</w:t>
      </w:r>
      <w:r w:rsidRPr="00E87F12">
        <w:rPr>
          <w:szCs w:val="20"/>
        </w:rPr>
        <w:t>-202</w:t>
      </w:r>
      <w:r>
        <w:rPr>
          <w:szCs w:val="20"/>
        </w:rPr>
        <w:t>2</w:t>
      </w:r>
      <w:r w:rsidRPr="00E87F12">
        <w:rPr>
          <w:szCs w:val="20"/>
        </w:rPr>
        <w:t xml:space="preserve"> voor de gehele stichting, waartoe behoren Ichthus College </w:t>
      </w:r>
      <w:r w:rsidRPr="002B2465">
        <w:rPr>
          <w:szCs w:val="20"/>
        </w:rPr>
        <w:t>Kampen Academische route</w:t>
      </w:r>
      <w:r w:rsidR="002B2465" w:rsidRPr="002B2465">
        <w:rPr>
          <w:szCs w:val="20"/>
        </w:rPr>
        <w:t xml:space="preserve"> (VWO)</w:t>
      </w:r>
      <w:r w:rsidRPr="002B2465">
        <w:rPr>
          <w:szCs w:val="20"/>
        </w:rPr>
        <w:t xml:space="preserve">, </w:t>
      </w:r>
      <w:r w:rsidR="002B2465" w:rsidRPr="002B2465">
        <w:rPr>
          <w:szCs w:val="20"/>
        </w:rPr>
        <w:t>MAVO en HAVO</w:t>
      </w:r>
      <w:r w:rsidRPr="002B2465">
        <w:rPr>
          <w:szCs w:val="20"/>
        </w:rPr>
        <w:t xml:space="preserve">, </w:t>
      </w:r>
      <w:r w:rsidRPr="00E87F12">
        <w:rPr>
          <w:szCs w:val="20"/>
        </w:rPr>
        <w:t>Vakroute en Praktijkroute (17ZI) en Ichthus Dronten en Het Perron Dronten. Allen scholen voor het Voortgezet Onderwijs (VO) van Landstede</w:t>
      </w:r>
      <w:r w:rsidR="00E74897">
        <w:rPr>
          <w:szCs w:val="20"/>
        </w:rPr>
        <w:t xml:space="preserve"> Groep</w:t>
      </w:r>
      <w:r w:rsidRPr="00E87F12">
        <w:rPr>
          <w:szCs w:val="20"/>
        </w:rPr>
        <w:t xml:space="preserve">.  </w:t>
      </w:r>
    </w:p>
    <w:p w14:paraId="1496A586" w14:textId="77777777" w:rsidR="00DC6534" w:rsidRPr="00E87F12" w:rsidRDefault="00DC6534" w:rsidP="00DC6534">
      <w:pPr>
        <w:spacing w:after="34" w:line="298" w:lineRule="auto"/>
        <w:rPr>
          <w:szCs w:val="20"/>
        </w:rPr>
      </w:pPr>
      <w:r w:rsidRPr="00E87F12">
        <w:rPr>
          <w:szCs w:val="20"/>
        </w:rPr>
        <w:t xml:space="preserve"> </w:t>
      </w:r>
    </w:p>
    <w:p w14:paraId="7258B914" w14:textId="77777777" w:rsidR="00DC6534" w:rsidRPr="00E87F12" w:rsidRDefault="00DC6534" w:rsidP="00DC6534">
      <w:pPr>
        <w:spacing w:line="298" w:lineRule="auto"/>
        <w:ind w:left="-5"/>
        <w:rPr>
          <w:szCs w:val="20"/>
        </w:rPr>
      </w:pPr>
      <w:r w:rsidRPr="00E87F12">
        <w:rPr>
          <w:szCs w:val="20"/>
        </w:rPr>
        <w:t>Het formatieplan kan niet goed beoordeeld worden zonder de begroting 202</w:t>
      </w:r>
      <w:r>
        <w:rPr>
          <w:szCs w:val="20"/>
        </w:rPr>
        <w:t>1</w:t>
      </w:r>
      <w:r w:rsidRPr="00E87F12">
        <w:rPr>
          <w:szCs w:val="20"/>
        </w:rPr>
        <w:t xml:space="preserve">. In de begroting is de financiële ruimte bepaald, waarbinnen de hier beschreven formatieve inzet zich moet bevinden. </w:t>
      </w:r>
    </w:p>
    <w:p w14:paraId="50C12555" w14:textId="77777777" w:rsidR="00DC6534" w:rsidRPr="00E87F12" w:rsidRDefault="00DC6534" w:rsidP="00DC6534">
      <w:pPr>
        <w:spacing w:after="34" w:line="298" w:lineRule="auto"/>
        <w:rPr>
          <w:szCs w:val="20"/>
        </w:rPr>
      </w:pPr>
      <w:r w:rsidRPr="00E87F12">
        <w:rPr>
          <w:szCs w:val="20"/>
        </w:rPr>
        <w:t xml:space="preserve"> </w:t>
      </w:r>
    </w:p>
    <w:p w14:paraId="1CC20B78" w14:textId="77777777" w:rsidR="00DC6534" w:rsidRPr="00E87F12" w:rsidRDefault="00DC6534" w:rsidP="00DC6534">
      <w:pPr>
        <w:spacing w:line="298" w:lineRule="auto"/>
        <w:ind w:left="-5"/>
        <w:rPr>
          <w:szCs w:val="20"/>
        </w:rPr>
      </w:pPr>
      <w:r w:rsidRPr="00E87F12">
        <w:rPr>
          <w:szCs w:val="20"/>
        </w:rPr>
        <w:t>In dit plan is de CAO-VO 2018 -2019 (verlengd tot 1-10-202</w:t>
      </w:r>
      <w:r>
        <w:rPr>
          <w:szCs w:val="20"/>
        </w:rPr>
        <w:t>1</w:t>
      </w:r>
      <w:r w:rsidRPr="00E87F12">
        <w:rPr>
          <w:szCs w:val="20"/>
        </w:rPr>
        <w:t xml:space="preserve">) verwerkt. De CAO-VO is leidend voor de inzet van medewerkers van het voortgezet onderwijs.  </w:t>
      </w:r>
    </w:p>
    <w:p w14:paraId="5B3EA90C" w14:textId="77777777" w:rsidR="00DC6534" w:rsidRPr="00E87F12" w:rsidRDefault="00DC6534" w:rsidP="00DC6534">
      <w:pPr>
        <w:spacing w:after="39" w:line="298" w:lineRule="auto"/>
        <w:rPr>
          <w:szCs w:val="20"/>
        </w:rPr>
      </w:pPr>
      <w:r w:rsidRPr="00E87F12">
        <w:rPr>
          <w:szCs w:val="20"/>
        </w:rPr>
        <w:t xml:space="preserve"> </w:t>
      </w:r>
    </w:p>
    <w:p w14:paraId="0DE822E1" w14:textId="77777777" w:rsidR="00DC6534" w:rsidRPr="00E87F12" w:rsidRDefault="00DC6534" w:rsidP="00DC6534">
      <w:pPr>
        <w:spacing w:line="298" w:lineRule="auto"/>
        <w:ind w:left="-5"/>
        <w:rPr>
          <w:szCs w:val="20"/>
        </w:rPr>
      </w:pPr>
      <w:r w:rsidRPr="00E87F12">
        <w:rPr>
          <w:szCs w:val="20"/>
        </w:rPr>
        <w:t xml:space="preserve">Wie breder wil lezen, kan terecht in de volgende documenten:  </w:t>
      </w:r>
    </w:p>
    <w:p w14:paraId="1D8ECC56" w14:textId="77777777" w:rsidR="00DC6534" w:rsidRPr="00E87F12" w:rsidRDefault="00DC6534" w:rsidP="005A4B0C">
      <w:pPr>
        <w:numPr>
          <w:ilvl w:val="0"/>
          <w:numId w:val="3"/>
        </w:numPr>
        <w:spacing w:after="5" w:line="298" w:lineRule="auto"/>
        <w:ind w:right="3932" w:hanging="720"/>
        <w:rPr>
          <w:szCs w:val="20"/>
        </w:rPr>
      </w:pPr>
      <w:r w:rsidRPr="00E87F12">
        <w:rPr>
          <w:szCs w:val="20"/>
        </w:rPr>
        <w:t>Strategienota Landstede Groep 2019-2022;</w:t>
      </w:r>
    </w:p>
    <w:p w14:paraId="0A41B45F" w14:textId="77777777" w:rsidR="00DC6534" w:rsidRPr="00E87F12" w:rsidRDefault="00DC6534" w:rsidP="005A4B0C">
      <w:pPr>
        <w:numPr>
          <w:ilvl w:val="0"/>
          <w:numId w:val="3"/>
        </w:numPr>
        <w:spacing w:line="298" w:lineRule="auto"/>
        <w:ind w:right="3932" w:hanging="720"/>
        <w:rPr>
          <w:szCs w:val="20"/>
        </w:rPr>
      </w:pPr>
      <w:r w:rsidRPr="00E87F12">
        <w:rPr>
          <w:szCs w:val="20"/>
        </w:rPr>
        <w:t>Begroting stichting Ichthus College 202</w:t>
      </w:r>
      <w:r>
        <w:rPr>
          <w:szCs w:val="20"/>
        </w:rPr>
        <w:t>1</w:t>
      </w:r>
    </w:p>
    <w:p w14:paraId="15B14BAC" w14:textId="77777777" w:rsidR="00DC6534" w:rsidRDefault="00DC6534" w:rsidP="005A4B0C">
      <w:pPr>
        <w:numPr>
          <w:ilvl w:val="0"/>
          <w:numId w:val="3"/>
        </w:numPr>
        <w:spacing w:line="298" w:lineRule="auto"/>
        <w:ind w:right="3932" w:hanging="720"/>
        <w:rPr>
          <w:szCs w:val="20"/>
        </w:rPr>
      </w:pPr>
      <w:r w:rsidRPr="00E87F12">
        <w:rPr>
          <w:szCs w:val="20"/>
        </w:rPr>
        <w:t>Meerjarenbegroting 2020-2025</w:t>
      </w:r>
    </w:p>
    <w:p w14:paraId="4DB0D0F0" w14:textId="77777777" w:rsidR="00097CE1" w:rsidRPr="00E87F12" w:rsidRDefault="00097CE1" w:rsidP="005A4B0C">
      <w:pPr>
        <w:numPr>
          <w:ilvl w:val="0"/>
          <w:numId w:val="3"/>
        </w:numPr>
        <w:spacing w:line="298" w:lineRule="auto"/>
        <w:ind w:right="3932" w:hanging="720"/>
        <w:rPr>
          <w:szCs w:val="20"/>
        </w:rPr>
      </w:pPr>
      <w:r>
        <w:rPr>
          <w:szCs w:val="20"/>
        </w:rPr>
        <w:t>Schoolplan/eenheidskaderbrief</w:t>
      </w:r>
    </w:p>
    <w:p w14:paraId="134C5DA8" w14:textId="77777777" w:rsidR="00DC6534" w:rsidRPr="00E87F12" w:rsidRDefault="00DC6534" w:rsidP="00DC6534">
      <w:pPr>
        <w:spacing w:after="39" w:line="298" w:lineRule="auto"/>
        <w:rPr>
          <w:szCs w:val="20"/>
        </w:rPr>
      </w:pPr>
      <w:r w:rsidRPr="00E87F12">
        <w:rPr>
          <w:b/>
          <w:szCs w:val="20"/>
        </w:rPr>
        <w:t xml:space="preserve"> </w:t>
      </w:r>
    </w:p>
    <w:p w14:paraId="73B1C108" w14:textId="77777777" w:rsidR="00DC6534" w:rsidRPr="008608C6" w:rsidRDefault="00DC6534" w:rsidP="00DC6534">
      <w:pPr>
        <w:spacing w:line="298" w:lineRule="auto"/>
        <w:ind w:left="-5"/>
        <w:rPr>
          <w:szCs w:val="20"/>
        </w:rPr>
      </w:pPr>
      <w:r w:rsidRPr="008608C6">
        <w:rPr>
          <w:szCs w:val="20"/>
        </w:rPr>
        <w:t>Hoofdstuk 2 geeft een korte inkijk in de opgave waar de stichting voor staat aan de start van het formatieproces 202</w:t>
      </w:r>
      <w:r>
        <w:rPr>
          <w:szCs w:val="20"/>
        </w:rPr>
        <w:t>1</w:t>
      </w:r>
      <w:r w:rsidRPr="008608C6">
        <w:rPr>
          <w:szCs w:val="20"/>
        </w:rPr>
        <w:t>-202</w:t>
      </w:r>
      <w:r>
        <w:rPr>
          <w:szCs w:val="20"/>
        </w:rPr>
        <w:t>2</w:t>
      </w:r>
      <w:r w:rsidRPr="008608C6">
        <w:rPr>
          <w:szCs w:val="20"/>
        </w:rPr>
        <w:t xml:space="preserve">.  Hoofdstuk 3 verkent de landelijke ontwikkelingen die van invloed kunnen zijn op het formatieplan.  Hoofdstuk 4 schetst de instellingseigen ontwikkeling. Het gaat hier om de kaders van het financieel beleid, een evaluatie van de personele bezetting en de interne ontwikkelingen.  </w:t>
      </w:r>
    </w:p>
    <w:p w14:paraId="0547494B" w14:textId="77777777" w:rsidR="00DC6534" w:rsidRPr="00E87F12" w:rsidRDefault="00DC6534" w:rsidP="00DC6534">
      <w:pPr>
        <w:spacing w:line="298" w:lineRule="auto"/>
        <w:ind w:left="-5"/>
        <w:rPr>
          <w:szCs w:val="20"/>
        </w:rPr>
      </w:pPr>
      <w:r w:rsidRPr="008608C6">
        <w:rPr>
          <w:szCs w:val="20"/>
        </w:rPr>
        <w:t>Hoofdstuk 5 beschrijft de uitkomsten van het formatieproces uitgedrukt in fte’s en €.</w:t>
      </w:r>
      <w:r w:rsidR="0038776F">
        <w:rPr>
          <w:szCs w:val="20"/>
        </w:rPr>
        <w:t xml:space="preserve"> Hoofdstuk 6 geeft de algemene kaders en conclusies weer.</w:t>
      </w:r>
    </w:p>
    <w:p w14:paraId="1AD37F9D" w14:textId="77777777" w:rsidR="00DC6534" w:rsidRPr="00DC6534" w:rsidRDefault="00DC6534" w:rsidP="00DC6534"/>
    <w:p w14:paraId="3ED37ACF" w14:textId="77777777" w:rsidR="004F5EBE" w:rsidRDefault="00F84569" w:rsidP="005A4B0C">
      <w:pPr>
        <w:pStyle w:val="Kop1"/>
        <w:keepLines w:val="0"/>
        <w:numPr>
          <w:ilvl w:val="0"/>
          <w:numId w:val="1"/>
        </w:numPr>
        <w:spacing w:before="120" w:after="240"/>
        <w:rPr>
          <w:rFonts w:cs="Arial"/>
          <w:color w:val="2F5496"/>
        </w:rPr>
      </w:pPr>
      <w:bookmarkStart w:id="2" w:name="_Toc69994985"/>
      <w:bookmarkStart w:id="3" w:name="_Toc462147471"/>
      <w:r>
        <w:rPr>
          <w:rFonts w:cs="Arial"/>
          <w:color w:val="2F5496"/>
        </w:rPr>
        <w:t>Context formatie nieuwe schooljaar</w:t>
      </w:r>
      <w:bookmarkEnd w:id="2"/>
    </w:p>
    <w:p w14:paraId="521B29B2" w14:textId="77777777" w:rsidR="00097CE1" w:rsidRDefault="0038776F" w:rsidP="00DC6534">
      <w:r w:rsidRPr="0038776F">
        <w:t>H</w:t>
      </w:r>
      <w:r w:rsidR="00DC6534" w:rsidRPr="0038776F">
        <w:t xml:space="preserve">et kalenderjaar 2019 van stichting Ichthus College </w:t>
      </w:r>
      <w:r w:rsidRPr="0038776F">
        <w:t>is financieel afgesloten met</w:t>
      </w:r>
      <w:r w:rsidR="00DC6534" w:rsidRPr="0038776F">
        <w:t xml:space="preserve"> een negatief resultaat </w:t>
      </w:r>
      <w:r w:rsidRPr="0038776F">
        <w:t xml:space="preserve">van </w:t>
      </w:r>
      <w:r w:rsidR="00DC6534" w:rsidRPr="0038776F">
        <w:t>€ - 4</w:t>
      </w:r>
      <w:r w:rsidRPr="0038776F">
        <w:t>90</w:t>
      </w:r>
      <w:r w:rsidR="00DC6534" w:rsidRPr="0038776F">
        <w:t>k</w:t>
      </w:r>
      <w:r w:rsidRPr="0038776F">
        <w:t xml:space="preserve">, dit </w:t>
      </w:r>
      <w:r w:rsidR="00DC6534" w:rsidRPr="0038776F">
        <w:t>negatieve resultaat is enigszins geflatteerd vanwege incidentele meevallers</w:t>
      </w:r>
      <w:r w:rsidRPr="0038776F">
        <w:t>, z</w:t>
      </w:r>
      <w:r w:rsidR="00DC6534" w:rsidRPr="0038776F">
        <w:t xml:space="preserve">onder incidentele meevallers vanuit het Rijk was dit tekort aanzienlijk hoger uitgevallen. </w:t>
      </w:r>
    </w:p>
    <w:p w14:paraId="771B6AFA" w14:textId="1A7FA959" w:rsidR="00DC6534" w:rsidRPr="0038776F" w:rsidRDefault="0038776F" w:rsidP="00DC6534">
      <w:r w:rsidRPr="0038776F">
        <w:t>Het resultaat 2020 was begroot op een negatief resultaat van € - 348k, maar het voorlopige werkelijke resultaat lijkt uit te komen op ca. € -96k, ook dit is onverwacht door extra meevallers</w:t>
      </w:r>
      <w:r w:rsidR="00097CE1">
        <w:t xml:space="preserve">, zoals </w:t>
      </w:r>
      <w:r w:rsidR="00E74897">
        <w:t xml:space="preserve">de incidentele </w:t>
      </w:r>
      <w:r w:rsidR="00097CE1">
        <w:t>vrijval van reserve langdurig zieken</w:t>
      </w:r>
      <w:r w:rsidRPr="0038776F">
        <w:t>.</w:t>
      </w:r>
    </w:p>
    <w:p w14:paraId="71E3E670" w14:textId="77777777" w:rsidR="00DC6534" w:rsidRDefault="00DC6534" w:rsidP="00DC6534"/>
    <w:p w14:paraId="6E7B6031" w14:textId="35F40844" w:rsidR="00DC6534" w:rsidRDefault="00DC6534" w:rsidP="00DC6534">
      <w:r>
        <w:t xml:space="preserve">De opgave voor het komende schooljaar 2021-2022 is om de omvang van de personele formatie aan te laten sluiten bij de begroting 2021. Ondanks de negatieve resultaten over 2019 en 2020 voldoen we toch nog aan de eisen die de overheid aan onze financiële kerngetallen stelt. Wel blijven we de komend  schooljaar een taakstelling houden in de formatie, mede als gevolg van de </w:t>
      </w:r>
      <w:r w:rsidR="00097CE1">
        <w:t xml:space="preserve">verwachte </w:t>
      </w:r>
      <w:r>
        <w:t>leerlingendaling in Kampen.</w:t>
      </w:r>
      <w:r w:rsidR="00E74897">
        <w:t xml:space="preserve"> </w:t>
      </w:r>
      <w:r>
        <w:t xml:space="preserve">Bij de interne mobiliteit werken we met afspraken die we binnen de stichting en met de GMR zijn overeengekomen en volgens het beleid van de Landstede groep. </w:t>
      </w:r>
    </w:p>
    <w:p w14:paraId="0E261D2F" w14:textId="1054AE0A" w:rsidR="00DC6534" w:rsidRDefault="00DC6534" w:rsidP="00DC6534"/>
    <w:p w14:paraId="42BAB36D" w14:textId="34FCDF02" w:rsidR="00E74897" w:rsidRDefault="00E74897" w:rsidP="00E74897">
      <w:r>
        <w:t xml:space="preserve">De komende twee jaar zal bij het opstellen van de formatie het nationaal programma onderwijs een grote rol spelen. De overheid stelt een ruime budget beschikbaar voor het voortgezet onderwijs om de vertragingen </w:t>
      </w:r>
      <w:r>
        <w:lastRenderedPageBreak/>
        <w:t xml:space="preserve">van leerlingen weg te werken. Deze inzet richt zich zowel op de cognitieve ontwikkeling, als de sociaal-emotionele ontwikkeling en het welzijn van leerlingen. Het gaat weliswaar om incidenteel geld, maar wel om een forse investering die niet alleen de </w:t>
      </w:r>
      <w:r w:rsidR="00E930C5">
        <w:t>kansen</w:t>
      </w:r>
      <w:r>
        <w:t xml:space="preserve"> biedt om de gevolgen van deze crisis voor leerlingen op te vangen, maar ook om ontwikkelingen binnen de sector zoals meer maatwerk, uitstel van selectie, en ook professionalisering en versterking van leraren, een impuls te geven. </w:t>
      </w:r>
    </w:p>
    <w:p w14:paraId="0F8238FD" w14:textId="77777777" w:rsidR="00E74897" w:rsidRDefault="00E74897" w:rsidP="00E74897"/>
    <w:p w14:paraId="11D0F3F7" w14:textId="77777777" w:rsidR="00E74897" w:rsidRDefault="00E74897" w:rsidP="00E74897">
      <w:r>
        <w:t xml:space="preserve">De coronapandemie heeft grote gevolgen (gehad) voor de leerlingen en het onderwijs. Het verloop van de pandemie hebben we ervaren als grillig en onzeker. Het ge-jojo van Lock-downs, thuisonderwijs en toch weer naar school. COVID -19 heeft van ons allemaal veel gevraagd en het einde is nog niet in zicht. Iedereen heeft zich onder moeilijke omstandigheden enorm ingespannen om het onderwijs zoveel mogelijk door te laten gaan en naar de leerlingen en collega’s om te blijven zien. Het blijft belangrijk, het omzien naar elkaar om uitval te voorkomen. Terugkijkend mogen we trots zijn op de manier waarop iedereen dit heeft opgepakt en volgehouden. </w:t>
      </w:r>
    </w:p>
    <w:p w14:paraId="182C0B19" w14:textId="77777777" w:rsidR="00E74897" w:rsidRDefault="00E74897" w:rsidP="00E74897">
      <w:r>
        <w:t xml:space="preserve"> </w:t>
      </w:r>
    </w:p>
    <w:p w14:paraId="4123738C" w14:textId="77777777" w:rsidR="00FF4F1B" w:rsidRDefault="00E74897" w:rsidP="00E74897">
      <w:r>
        <w:t xml:space="preserve">Er is hard gewerkt om ons onderwijs en de begeleiding razendsnel aan te passen aan de steeds veranderende omstandigheden. Desondanks hebben veel leerlingen vertraging opgelopen in hun ontwikkeling en uiteraard raakt dit de meest kwetsbare leerlingen het hardst.  COVID-19 zal de komende jaren van invloed blijven op ons onderwijs. De overheid komt de scholen te hulp met veel geld, maar daar moeten we wel wat voor doen. Voor de zomervakantie gaan wij met elkaar een plan maken om op haalbare en verantwoordelijke wijze de vertragingen van terug te brengen. </w:t>
      </w:r>
    </w:p>
    <w:p w14:paraId="1BA5697C" w14:textId="568DE794" w:rsidR="00E74897" w:rsidRDefault="00FF4F1B" w:rsidP="00E74897">
      <w:r w:rsidRPr="00FF4F1B">
        <w:t xml:space="preserve">De subsidies voor volgend schooljaar </w:t>
      </w:r>
      <w:r>
        <w:t xml:space="preserve">is </w:t>
      </w:r>
      <w:r w:rsidRPr="00FF4F1B">
        <w:t>ongeveer €700 per leerling. Deze middelen worden additioneel toegevoegd aan de formatiebudgetten, zodat incidentele en structurele middelen zichtbaar blijven.</w:t>
      </w:r>
    </w:p>
    <w:p w14:paraId="159FF6E5" w14:textId="77777777" w:rsidR="00E74897" w:rsidRDefault="00E74897" w:rsidP="00E74897"/>
    <w:p w14:paraId="40790DAC" w14:textId="38D9E3D2" w:rsidR="00DC6534" w:rsidRDefault="00DC6534" w:rsidP="00DC6534">
      <w:r>
        <w:t xml:space="preserve">Bij het formatieproces wordt steeds de stichting als geheel als uitgangspunt genomen. We hebben de vermindering van de leerlingenaantallen én de financiële situatie verwerkt in de begroting 2021. </w:t>
      </w:r>
      <w:r w:rsidR="00E74897">
        <w:t xml:space="preserve">We hanteren het uitgangspunt dat </w:t>
      </w:r>
      <w:r>
        <w:t>de formatiebudgetten meebewegen met de leerlingenaantallen. Als we dit niet direct doorvoeren vanaf augustus, kan er bij de start van het nieuwe kalenderjaar een financieel knelpunt ontstaan</w:t>
      </w:r>
      <w:r w:rsidR="00E74897">
        <w:t xml:space="preserve"> dat </w:t>
      </w:r>
      <w:r>
        <w:t>moeilijk recht te zetten</w:t>
      </w:r>
      <w:r w:rsidR="00E74897">
        <w:t xml:space="preserve"> is</w:t>
      </w:r>
      <w:r>
        <w:t xml:space="preserve">. </w:t>
      </w:r>
      <w:r w:rsidR="00E74897">
        <w:t xml:space="preserve">Het </w:t>
      </w:r>
      <w:r>
        <w:t xml:space="preserve">betekent </w:t>
      </w:r>
      <w:r w:rsidR="00E74897">
        <w:t>ook dat we vanaf dat moment forser moeten ingrijpen dan nodig is.</w:t>
      </w:r>
    </w:p>
    <w:p w14:paraId="7F0E5CEB" w14:textId="62B1EDF1" w:rsidR="00DC6534" w:rsidRPr="00DC6534" w:rsidRDefault="00DC6534" w:rsidP="00DC6534">
      <w:pPr>
        <w:rPr>
          <w:color w:val="FF0000"/>
        </w:rPr>
      </w:pPr>
      <w:r>
        <w:t xml:space="preserve">Het opvangen van calamiteiten kan beter op stichtingsniveau plaatsvinden dan in de begrotingen van de </w:t>
      </w:r>
      <w:r w:rsidR="00E74897">
        <w:t>eenheden</w:t>
      </w:r>
      <w:r>
        <w:t xml:space="preserve">. We zijn samen verantwoordelijk voor de stichtingsbegroting en </w:t>
      </w:r>
      <w:r w:rsidR="00E74897">
        <w:t xml:space="preserve">het </w:t>
      </w:r>
      <w:r>
        <w:t xml:space="preserve">opvangen van schommelingen in de formatie. Gedurende het boekjaar kan zich een aantal calamiteiten voordoen, wat tot hogere kosten kan leiden. In overleg met het bestuur worden deze betaald uit het calamiteitenbudget. </w:t>
      </w:r>
    </w:p>
    <w:p w14:paraId="650F909D" w14:textId="77777777" w:rsidR="00DC6534" w:rsidRDefault="00DC6534" w:rsidP="00DC6534"/>
    <w:p w14:paraId="212BD0F2" w14:textId="77777777" w:rsidR="00DC6534" w:rsidRPr="00DC6534" w:rsidRDefault="00DC6534" w:rsidP="00DC6534"/>
    <w:p w14:paraId="28FB9BB2" w14:textId="77777777" w:rsidR="00F84569" w:rsidRDefault="00F84569" w:rsidP="005A4B0C">
      <w:pPr>
        <w:pStyle w:val="Kop1"/>
        <w:keepLines w:val="0"/>
        <w:numPr>
          <w:ilvl w:val="0"/>
          <w:numId w:val="1"/>
        </w:numPr>
        <w:spacing w:before="120" w:after="240"/>
        <w:rPr>
          <w:rFonts w:cs="Arial"/>
          <w:color w:val="2F5496"/>
        </w:rPr>
      </w:pPr>
      <w:bookmarkStart w:id="4" w:name="_Toc69994986"/>
      <w:bookmarkEnd w:id="3"/>
      <w:r>
        <w:rPr>
          <w:rFonts w:cs="Arial"/>
          <w:color w:val="2F5496"/>
        </w:rPr>
        <w:t>Landelijke ontwikkelingen</w:t>
      </w:r>
      <w:bookmarkEnd w:id="4"/>
    </w:p>
    <w:p w14:paraId="5790D5F4" w14:textId="77777777" w:rsidR="00DC6534" w:rsidRDefault="009E0FD0" w:rsidP="009E0FD0">
      <w:pPr>
        <w:pStyle w:val="Kop2"/>
      </w:pPr>
      <w:bookmarkStart w:id="5" w:name="_Toc69994987"/>
      <w:r>
        <w:t>3.1 CAO + overige ontwikkelingen</w:t>
      </w:r>
      <w:bookmarkEnd w:id="5"/>
      <w:r>
        <w:t xml:space="preserve">  </w:t>
      </w:r>
    </w:p>
    <w:p w14:paraId="6A6CC6C2" w14:textId="77777777" w:rsidR="00DC6534" w:rsidRPr="008C0B27" w:rsidRDefault="001773D3" w:rsidP="00DC6534">
      <w:r w:rsidRPr="001773D3">
        <w:t>De afgelopen maanden hebben sociale partners in het voortgezet onderwijs gesproken over een nieuwe CAO VO. Zij zijn tot de conclusie gekomen dat het niet mogelijk is om op dit moment al tot een nieuwe CAO VO te komen. Dit betekent dat de cao van rechtswege is verlengd tot en met 31 december 2021.</w:t>
      </w:r>
    </w:p>
    <w:p w14:paraId="6A11E780" w14:textId="77777777" w:rsidR="00DC6534" w:rsidRPr="00DC6534" w:rsidRDefault="00DC6534" w:rsidP="00DC6534">
      <w:pPr>
        <w:spacing w:after="36" w:line="298" w:lineRule="auto"/>
        <w:ind w:left="-5"/>
        <w:rPr>
          <w:bCs/>
          <w:i/>
          <w:color w:val="355E91"/>
          <w:szCs w:val="20"/>
        </w:rPr>
      </w:pPr>
    </w:p>
    <w:p w14:paraId="4BEB1056" w14:textId="77777777" w:rsidR="00DC6534" w:rsidRPr="00DC6534" w:rsidRDefault="00DC6534" w:rsidP="00DC6534">
      <w:r w:rsidRPr="00DC6534">
        <w:t xml:space="preserve">Ontwikkeltijd </w:t>
      </w:r>
    </w:p>
    <w:p w14:paraId="13DE903B" w14:textId="67825EC1" w:rsidR="00DC6534" w:rsidRPr="004F7898" w:rsidRDefault="00DC6534" w:rsidP="00DC6534">
      <w:r w:rsidRPr="00DC6534">
        <w:t>In de cao VO zijn afspraken gemaakt over ontwikkeltijd per 1 augustus 2019. De maximale lestaak wordt dan verminderd met 30 uur, samen met de opslagfactor totaal 50 uur. Hier zijn geen extra middelen voor ter beschikking gesteld</w:t>
      </w:r>
      <w:r w:rsidR="00E74897">
        <w:t>, maar de beschikbare onderwijstijd moet op het wettelijke niveau blijven</w:t>
      </w:r>
      <w:r w:rsidRPr="00DC6534">
        <w:t xml:space="preserve">. Dit heeft geleid </w:t>
      </w:r>
      <w:r w:rsidR="00097CE1">
        <w:t xml:space="preserve">tot verschillende uitvoeringspraktijken. </w:t>
      </w:r>
      <w:r w:rsidR="00097CE1" w:rsidRPr="004F7898">
        <w:t xml:space="preserve">Voor Kampen is de lestaak teruggebracht naar 20 klokuren per week verdeeld over 36 weken. </w:t>
      </w:r>
      <w:r w:rsidR="008B678F" w:rsidRPr="004F7898">
        <w:t xml:space="preserve">Voor </w:t>
      </w:r>
      <w:r w:rsidR="00097CE1" w:rsidRPr="004F7898">
        <w:t>Dronten</w:t>
      </w:r>
      <w:r w:rsidR="00E16ED9" w:rsidRPr="004F7898">
        <w:t xml:space="preserve"> </w:t>
      </w:r>
      <w:r w:rsidR="008B678F" w:rsidRPr="004F7898">
        <w:t xml:space="preserve">geldt </w:t>
      </w:r>
      <w:r w:rsidR="00E16ED9" w:rsidRPr="004F7898">
        <w:t xml:space="preserve">24 </w:t>
      </w:r>
      <w:r w:rsidR="008B678F" w:rsidRPr="004F7898">
        <w:t xml:space="preserve">lessen van 50 minuten. </w:t>
      </w:r>
      <w:r w:rsidR="00E16ED9" w:rsidRPr="004F7898">
        <w:t xml:space="preserve">Voor PRO zijn vergelijkbare </w:t>
      </w:r>
      <w:r w:rsidR="00E16ED9" w:rsidRPr="004F7898">
        <w:lastRenderedPageBreak/>
        <w:t xml:space="preserve">afspraken gemaakt. </w:t>
      </w:r>
      <w:r w:rsidR="00E74897" w:rsidRPr="00E74897">
        <w:t>De teams zijn verantwoordelijk voor de invulling van de activiteite</w:t>
      </w:r>
      <w:r w:rsidR="00E74897">
        <w:t>n</w:t>
      </w:r>
      <w:r w:rsidR="00E74897" w:rsidRPr="00E74897">
        <w:t>dagen met een gemiddelde onderwijsduur van 5,3 klokuren.</w:t>
      </w:r>
      <w:r w:rsidR="00E74897">
        <w:t xml:space="preserve"> </w:t>
      </w:r>
      <w:r w:rsidR="00E16ED9" w:rsidRPr="004F7898">
        <w:t xml:space="preserve">In het nieuwe taakbeleid </w:t>
      </w:r>
      <w:r w:rsidR="00E74897">
        <w:t>zijn uren opgenomen om aan de activiteitendagen invulling te geven</w:t>
      </w:r>
      <w:r w:rsidR="00E16ED9" w:rsidRPr="004F7898">
        <w:t>.</w:t>
      </w:r>
    </w:p>
    <w:p w14:paraId="5C4FEADE" w14:textId="77777777" w:rsidR="00DC6534" w:rsidRPr="004F7898" w:rsidRDefault="00DC6534" w:rsidP="009E0FD0">
      <w:pPr>
        <w:pStyle w:val="Kop2"/>
        <w:rPr>
          <w:color w:val="auto"/>
        </w:rPr>
      </w:pPr>
    </w:p>
    <w:p w14:paraId="00F232C6" w14:textId="77777777" w:rsidR="009E0FD0" w:rsidRPr="004F7898" w:rsidRDefault="009E0FD0" w:rsidP="009E0FD0">
      <w:pPr>
        <w:pStyle w:val="Kop2"/>
        <w:rPr>
          <w:color w:val="auto"/>
        </w:rPr>
      </w:pPr>
      <w:r w:rsidRPr="004F7898">
        <w:rPr>
          <w:color w:val="auto"/>
        </w:rPr>
        <w:t xml:space="preserve">            </w:t>
      </w:r>
    </w:p>
    <w:p w14:paraId="66928D86" w14:textId="77777777" w:rsidR="00DC6534" w:rsidRDefault="009E0FD0" w:rsidP="009E0FD0">
      <w:pPr>
        <w:pStyle w:val="Kop2"/>
      </w:pPr>
      <w:bookmarkStart w:id="6" w:name="_Toc69994988"/>
      <w:r>
        <w:t>3.2 Ontwikkeling loonkosten en bekostiging</w:t>
      </w:r>
      <w:bookmarkEnd w:id="6"/>
      <w:r>
        <w:t xml:space="preserve">  </w:t>
      </w:r>
    </w:p>
    <w:p w14:paraId="1F4C4558" w14:textId="77777777" w:rsidR="00DC6534" w:rsidRPr="00DC6534" w:rsidRDefault="00D03DE0" w:rsidP="00DC6534">
      <w:r>
        <w:t xml:space="preserve">Met het verlengen van de </w:t>
      </w:r>
      <w:r w:rsidR="00DC6534" w:rsidRPr="00DC6534">
        <w:t xml:space="preserve">CAO </w:t>
      </w:r>
      <w:r>
        <w:t xml:space="preserve">2020-2021 is het de verwachting dat de arbeidsvoorwaarden voor dit boekjaar gelijk zullen blijven. </w:t>
      </w:r>
    </w:p>
    <w:p w14:paraId="4C0D02FB" w14:textId="77777777" w:rsidR="00D03DE0" w:rsidRDefault="00D03DE0" w:rsidP="00DC6534">
      <w:pPr>
        <w:spacing w:after="160" w:line="259" w:lineRule="auto"/>
      </w:pPr>
    </w:p>
    <w:p w14:paraId="2A383200" w14:textId="77777777" w:rsidR="003D0004" w:rsidRDefault="009E0FD0" w:rsidP="009E0FD0">
      <w:pPr>
        <w:pStyle w:val="Kop2"/>
      </w:pPr>
      <w:r>
        <w:t xml:space="preserve"> </w:t>
      </w:r>
    </w:p>
    <w:p w14:paraId="48E2E32C" w14:textId="77777777" w:rsidR="00DC6534" w:rsidRDefault="003D0004" w:rsidP="003D0004">
      <w:pPr>
        <w:pStyle w:val="Kop2"/>
      </w:pPr>
      <w:bookmarkStart w:id="7" w:name="_Toc69994989"/>
      <w:r>
        <w:t>3.3 Sectorakkoord VO</w:t>
      </w:r>
      <w:bookmarkEnd w:id="7"/>
    </w:p>
    <w:p w14:paraId="4331D92A" w14:textId="77777777" w:rsidR="002B2465" w:rsidRDefault="00DC4D37" w:rsidP="00DC4D37">
      <w:r w:rsidRPr="00DC4D37">
        <w:t xml:space="preserve">Gedurende de zomer en in het najaar is door de VO-raad en het ministerie van OCW gewerkt aan de afronding van het Sectorakkoord VO en een goede bestemming voor de middelen in de nieuwe bekostigingsregeling voor strategisch personeelsbeleid, begeleiding starters en thuiszitters. Uit de evaluatie van het Sectorakkoord is gebleken dat de doelstellingen in het akkoord voor het VO grotendeels zijn behaald. </w:t>
      </w:r>
    </w:p>
    <w:p w14:paraId="6A64F35A" w14:textId="77777777" w:rsidR="002B2465" w:rsidRDefault="00DC4D37" w:rsidP="00DC4D37">
      <w:r w:rsidRPr="00DC4D37">
        <w:t>Conform de afspraken die bij het afsluiten van het Sectorakkoord in 2014 zijn gemaakt, worden de Prestatiebox</w:t>
      </w:r>
      <w:r w:rsidR="002B2465">
        <w:t xml:space="preserve"> </w:t>
      </w:r>
      <w:r w:rsidRPr="00DC4D37">
        <w:t>middelen die aan die behaalde doelstellingen waren verbonden toegevoegd aan de lumpsum. Over de inzet van middelen die gekoppeld waren aan niet-behaalde doelstellingen zijn nieuwe afspraken gemaakt, die gelden voor 2021 en 2022. Van de € 334 miljoen in de Prestatiebox in 2020 wordt in 2021 en 2022 € 218 miljoen toegevoegd aan de lumpsum.</w:t>
      </w:r>
    </w:p>
    <w:p w14:paraId="3DD8AE65" w14:textId="77777777" w:rsidR="00A95BAA" w:rsidRDefault="00A95BAA" w:rsidP="00DC4D37"/>
    <w:p w14:paraId="3CA72558" w14:textId="77777777" w:rsidR="00A95BAA" w:rsidRDefault="00DC4D37" w:rsidP="00DC4D37">
      <w:r w:rsidRPr="00DC4D37">
        <w:t xml:space="preserve">In 2021 en 2022 blijft € 88 miljoen voor besturen beschikbaar om in te zetten voor beter strategisch personeelsbeleid. Hiermee kunnen schoolbesturen plannen maken, aansluitend bij hun eigen onderwijsvisie en ambities. </w:t>
      </w:r>
    </w:p>
    <w:p w14:paraId="735073D6" w14:textId="77777777" w:rsidR="00A95BAA" w:rsidRDefault="00A95BAA" w:rsidP="00DC4D37"/>
    <w:p w14:paraId="7078D4E5" w14:textId="77777777" w:rsidR="00DC6534" w:rsidRPr="00DC4D37" w:rsidRDefault="00DC4D37" w:rsidP="00DC4D37">
      <w:r w:rsidRPr="00DC4D37">
        <w:t xml:space="preserve">Over de inzet van de middelen voor het terugdringen van thuiszitten en strategisch personeelsbeleid moet gezamenlijke besluitvorming plaatsvinden met respectievelijk de </w:t>
      </w:r>
      <w:r w:rsidR="00D03DE0">
        <w:t>G</w:t>
      </w:r>
      <w:r w:rsidRPr="00DC4D37">
        <w:t>MR.</w:t>
      </w:r>
    </w:p>
    <w:p w14:paraId="668C54A4" w14:textId="77777777" w:rsidR="003D0004" w:rsidRPr="00DC4D37" w:rsidRDefault="003D0004" w:rsidP="003D0004">
      <w:pPr>
        <w:pStyle w:val="Kop2"/>
        <w:rPr>
          <w:rFonts w:eastAsiaTheme="minorHAnsi" w:cstheme="minorBidi"/>
          <w:b w:val="0"/>
          <w:color w:val="auto"/>
          <w:sz w:val="20"/>
          <w:szCs w:val="22"/>
        </w:rPr>
      </w:pPr>
      <w:r w:rsidRPr="00DC4D37">
        <w:rPr>
          <w:rFonts w:eastAsiaTheme="minorHAnsi" w:cstheme="minorBidi"/>
          <w:b w:val="0"/>
          <w:color w:val="auto"/>
          <w:sz w:val="20"/>
          <w:szCs w:val="22"/>
        </w:rPr>
        <w:t xml:space="preserve">          </w:t>
      </w:r>
    </w:p>
    <w:p w14:paraId="309816BC" w14:textId="77777777" w:rsidR="00DC6534" w:rsidRDefault="003D0004" w:rsidP="00C102D2">
      <w:pPr>
        <w:pStyle w:val="Kop2"/>
      </w:pPr>
      <w:bookmarkStart w:id="8" w:name="_Toc69994990"/>
      <w:r>
        <w:t>3.4 Vereenvoudiging bekostiging VO</w:t>
      </w:r>
      <w:bookmarkEnd w:id="8"/>
      <w:r>
        <w:t xml:space="preserve">  </w:t>
      </w:r>
    </w:p>
    <w:p w14:paraId="55ACE723" w14:textId="1B0C8465" w:rsidR="00DC6534" w:rsidRDefault="00DC6534" w:rsidP="00DC6534">
      <w:r w:rsidRPr="008928D3">
        <w:t>Per kalenderjaar 2022 treedt de vereenvoudiging bekostiging in werking wat een negatief effect heeft op de formatie 2021-2022. Doordat er een overgangsregeling is voor 5 jaren is dat het eerste jaar gering, ca. € 17k voor de stichting Ichthus (02VB) en € 20k voor PRO (17ZI). Na 5 jaar zal dat voor (02VB) € 86k en (17ZI) € 102k zijn, dus in totaal € 188k daling aan inkomsten als gevolg van de vereenvoudiging bekostiging. Dit alles heeft de komende jaren een flinke impact op de baten van de stichting</w:t>
      </w:r>
      <w:r w:rsidR="00E74897">
        <w:t xml:space="preserve"> en de desbetreffende onderwijsteams</w:t>
      </w:r>
      <w:r w:rsidRPr="008928D3">
        <w:t>.</w:t>
      </w:r>
    </w:p>
    <w:p w14:paraId="4A3FD6C1" w14:textId="77777777" w:rsidR="00E74897" w:rsidRPr="008928D3" w:rsidRDefault="00E74897" w:rsidP="00DC6534"/>
    <w:p w14:paraId="67658FAA" w14:textId="75C0660F" w:rsidR="00D03DE0" w:rsidRPr="00DC6534" w:rsidRDefault="007C42AE" w:rsidP="00DC6534">
      <w:r w:rsidRPr="008928D3">
        <w:t>In de formatiebudgetten (Foleta) is rekening gehouden met de afname van de bekostiging op basis van de eerste 20% van de overgangsregeling, het is nog een inschatting aangezien de definitieve bekostigingsinformatie voor 2022 nog niet bekend is.</w:t>
      </w:r>
      <w:r w:rsidR="00E74897">
        <w:t xml:space="preserve"> </w:t>
      </w:r>
      <w:r w:rsidR="00D03DE0">
        <w:t xml:space="preserve">De getallen in € </w:t>
      </w:r>
      <w:r w:rsidR="008928D3">
        <w:t xml:space="preserve">zijn </w:t>
      </w:r>
      <w:r w:rsidR="00D03DE0">
        <w:t>conform de op dit moment bekende gegevens (13-4-2021).</w:t>
      </w:r>
    </w:p>
    <w:p w14:paraId="3E4569D0" w14:textId="77777777" w:rsidR="00DC6534" w:rsidRDefault="00DC6534" w:rsidP="003D0004">
      <w:pPr>
        <w:pStyle w:val="Kop2"/>
      </w:pPr>
    </w:p>
    <w:p w14:paraId="07F93079" w14:textId="77777777" w:rsidR="003D0004" w:rsidRDefault="003D0004" w:rsidP="003D0004">
      <w:pPr>
        <w:pStyle w:val="Kop2"/>
      </w:pPr>
      <w:r>
        <w:t xml:space="preserve">           </w:t>
      </w:r>
    </w:p>
    <w:p w14:paraId="7DC5589C" w14:textId="77777777" w:rsidR="003D0004" w:rsidRDefault="003D0004" w:rsidP="00C102D2">
      <w:pPr>
        <w:pStyle w:val="Kop2"/>
      </w:pPr>
      <w:bookmarkStart w:id="9" w:name="_Toc69994991"/>
      <w:r>
        <w:t>3.5 De prestatiebox</w:t>
      </w:r>
      <w:bookmarkEnd w:id="9"/>
      <w:r>
        <w:t xml:space="preserve"> </w:t>
      </w:r>
    </w:p>
    <w:p w14:paraId="16E563E4" w14:textId="77777777" w:rsidR="00A95BAA" w:rsidRDefault="002B2465" w:rsidP="00A95BAA">
      <w:r>
        <w:t xml:space="preserve">Het budget van de oude Regeling Prestatiebox vo dat wordt toegevoegd aan de lumpsum, vanwege behaalde doelstellingen (218 miljoen euro), zal effectief aan de Regeling vaststelling bedragen landelijke gemiddelde personeelslast vo worden toegevoegd, met terugwerkende kracht, in de zomer van 2021. Op dat moment wordt de regeling jaarlijks bijgesteld vanwege loon- en prijsbijstellingen. Dit moment wordt benut om </w:t>
      </w:r>
      <w:r>
        <w:lastRenderedPageBreak/>
        <w:t xml:space="preserve">ook het deel van de Prestatiebox dat aan de lumpsum wordt toegevoegd te verwerken in deze regeling. Onze verwachting is dat schoolbesturen de verhoogde lumpsum vanaf september 2021 krijgen uitgekeerd. </w:t>
      </w:r>
    </w:p>
    <w:p w14:paraId="7935E82F" w14:textId="77777777" w:rsidR="00A95BAA" w:rsidRDefault="00A95BAA" w:rsidP="00A95BAA"/>
    <w:p w14:paraId="2419426B" w14:textId="77777777" w:rsidR="00A95BAA" w:rsidRDefault="002B2465" w:rsidP="00A95BAA">
      <w:r>
        <w:t>Het budget van de oude Regeling Prestatiebox vo dat opgaat in de nieuwe regeling voor strategisch personeelsbeleid, begeleiding van starters en thuiszitters wordt aan schoolbesturen middels een bedrag per leerling bekostigd. Het streven is om dit in mei</w:t>
      </w:r>
      <w:r w:rsidR="00A95BAA">
        <w:t xml:space="preserve"> 2021</w:t>
      </w:r>
      <w:r>
        <w:t xml:space="preserve"> te doen. Dit gaat op dezelfde wijze als u gewend was met de regeling </w:t>
      </w:r>
      <w:r w:rsidR="00A95BAA">
        <w:t xml:space="preserve">prestatiebox. </w:t>
      </w:r>
    </w:p>
    <w:p w14:paraId="7815D9B6" w14:textId="77777777" w:rsidR="00A95BAA" w:rsidRDefault="00A95BAA" w:rsidP="00A95BAA">
      <w:r>
        <w:t xml:space="preserve">Voor wat betreft het deel voor het strategisch personeelsbeleid gaat het om € 88 miljoen per jaar voor het voortgezet onderwijs. Bij benadering is dat € 93,90 per leerling. Van schoolbesturen verwachten wij dat plannen maken om het strategisch personeelsbeleid te versterken. Over deze plannen moet instemming worden gevraagd aan de personeelsgeleding van de </w:t>
      </w:r>
      <w:r w:rsidR="00D03DE0">
        <w:t>G</w:t>
      </w:r>
      <w:r>
        <w:t xml:space="preserve">MR. Deze plannen moeten </w:t>
      </w:r>
      <w:r w:rsidRPr="00791AA7">
        <w:rPr>
          <w:i/>
        </w:rPr>
        <w:t>in ieder geval</w:t>
      </w:r>
      <w:r>
        <w:t xml:space="preserve"> betrekking hebben op het verbeteren van de kwaliteit van de implementatie van strategisch personeelsbeleid door schoolleiders en de evaluatie van het strategisch personeelsbeleid.</w:t>
      </w:r>
    </w:p>
    <w:p w14:paraId="794E08F5" w14:textId="77777777" w:rsidR="00791AA7" w:rsidRPr="00F46EF8" w:rsidRDefault="00791AA7" w:rsidP="00791AA7">
      <w:pPr>
        <w:rPr>
          <w:color w:val="FF0000"/>
        </w:rPr>
      </w:pPr>
      <w:r>
        <w:t>Daarnaast maken schoolbesturen plannen voor het werken aan één van de volgende twee onderwerpen: de begeleiding van startende leraren en/of schoolleiders en de duurzame inzetbaarheid van het onderwijspersoneel. Over de uitvoering van de plannen, de besteding van de middelen die het bestuur ervoor ontvangen heeft en de wijze waarop de medezeggenschap is betrokken verantwoordt het bestuur zich in het jaarverslag. In de eerste helft van 2021 werken het ministerie en de VO-raad aan de precieze vraagstelling voor die verantwoording.</w:t>
      </w:r>
    </w:p>
    <w:p w14:paraId="41BAAA4C" w14:textId="77777777" w:rsidR="00791AA7" w:rsidRDefault="00791AA7" w:rsidP="00A95BAA"/>
    <w:p w14:paraId="3123F2DD" w14:textId="77777777" w:rsidR="00A95BAA" w:rsidRDefault="00A95BAA" w:rsidP="00A95BAA">
      <w:r>
        <w:t xml:space="preserve">Voor het deel ten behoeve van het terugdringen van het aantal thuiszitters gaat het om € 20 miljoen per jaar voor het voortgezet onderwijs. Bij benadering is dat € 21 per leerling. </w:t>
      </w:r>
      <w:r w:rsidR="00791AA7">
        <w:t>Met deze middelen moeten schoolbesturen plannen maken ten behoeven van het terugdringen van het aantal thuiszitters. Dit kan zowel aan de preventieve kant (het voorkomen van uitval of thuiszitten) als de curatieve kant (het terug naar school brengen van thuiszitters). Een passende inzet van middelen zal per school anders kunnen zijn. Over deze plannen moet advies worden gevraagd aan de personeelsgeleding van de GMR. Over de uitvoering van de plannen, de besteding van de middelen die het bestuur ervoor ontvangen heeft en de wijze waarop de medezeggenschap is betrokken verantwoordt het bestuur zich in het jaarverslag. In de eerste helft van 2021 werken het ministerie en de VO-raad aan de precieze vraagstelling voor die verantwoording.</w:t>
      </w:r>
    </w:p>
    <w:p w14:paraId="4B28C62D" w14:textId="4823C5D1" w:rsidR="008909A1" w:rsidRPr="00D9415F" w:rsidRDefault="008909A1" w:rsidP="00A95BAA">
      <w:pPr>
        <w:rPr>
          <w:color w:val="00B0F0"/>
        </w:rPr>
      </w:pPr>
      <w:r>
        <w:t xml:space="preserve">In Kampen </w:t>
      </w:r>
      <w:r w:rsidRPr="00D9415F">
        <w:t xml:space="preserve">en Dronten </w:t>
      </w:r>
      <w:r>
        <w:t>wordt op dit moment ingezet op een goede registratie van het verzuim en op de inzet van maatregelen om ongeoorloofd verzuim te voorkomen.</w:t>
      </w:r>
      <w:r w:rsidR="00D9415F">
        <w:t xml:space="preserve"> </w:t>
      </w:r>
    </w:p>
    <w:p w14:paraId="76478788" w14:textId="77777777" w:rsidR="00DC6534" w:rsidRPr="00DC6534" w:rsidRDefault="00DC6534" w:rsidP="00DC6534">
      <w:pPr>
        <w:rPr>
          <w:color w:val="FF0000"/>
        </w:rPr>
      </w:pPr>
      <w:r w:rsidRPr="00DC6534">
        <w:rPr>
          <w:color w:val="FF0000"/>
        </w:rPr>
        <w:t xml:space="preserve">  </w:t>
      </w:r>
    </w:p>
    <w:p w14:paraId="31276EC8" w14:textId="77777777" w:rsidR="00791AA7" w:rsidRDefault="00791AA7" w:rsidP="00791AA7">
      <w:r>
        <w:t>Wat gebeurt er met de subsidie voor lente- en zomerscholen? Op de doelstelling over het terugdringen van het aantal zittenblijvers in het Sectorakkoord is onvoldoende voortgang geboekt, constateerden het ministerie en de VO-raad. Daarom blijven de prestatiebox middelen die aan deze doelstelling waren gekoppeld hieraan verbonden. Het gaat om € 9 miljoen per jaar voor het voortgezet onderwijs.</w:t>
      </w:r>
    </w:p>
    <w:p w14:paraId="50D1CA98" w14:textId="77777777" w:rsidR="00DC6534" w:rsidRDefault="00791AA7" w:rsidP="00791AA7">
      <w:r>
        <w:t>Tot en met 2020 kon subsidie aangevraagd worden voor lente- of zomerscholen. Het grootste deel van de verstrekte subsidies is aangevraagd voor lentescholen. Omdat uit onderzoek blijkt dat zomerscholen aanzienlijk effectiever zijn bij het verminderen van zittenblijvers, zal het ministerie van OCW vanaf 2021 geen subsidie meer verstrekken voor de organisatie van lentescholen. Besturen kunnen subsidie aanvragen voor het organiseren van zomerscholen, en voor andere interventies waarmee het aantal zittenblijvers teruggedrongen wordt, bijvoorbeeld gericht op het optimaliseren van het overgangsbeleid.</w:t>
      </w:r>
    </w:p>
    <w:p w14:paraId="1B55FE31" w14:textId="77777777" w:rsidR="00DC6534" w:rsidRPr="00DC6534" w:rsidRDefault="00DC6534" w:rsidP="00DC6534"/>
    <w:p w14:paraId="4D055087" w14:textId="77777777" w:rsidR="006D3F43" w:rsidRPr="00C102D2" w:rsidRDefault="003D0004" w:rsidP="003D0004">
      <w:pPr>
        <w:pStyle w:val="Kop2"/>
      </w:pPr>
      <w:bookmarkStart w:id="10" w:name="_Toc69994992"/>
      <w:r w:rsidRPr="00C102D2">
        <w:t>3.6 Overige onderwerpen</w:t>
      </w:r>
      <w:bookmarkEnd w:id="10"/>
      <w:r w:rsidRPr="00C102D2">
        <w:t xml:space="preserve"> </w:t>
      </w:r>
    </w:p>
    <w:p w14:paraId="5FEF23C2" w14:textId="77777777" w:rsidR="0008236D" w:rsidRDefault="0008236D" w:rsidP="0008236D"/>
    <w:p w14:paraId="69F0A067" w14:textId="3BBBCD09" w:rsidR="006D3F43" w:rsidRDefault="00FF4F1B">
      <w:pPr>
        <w:spacing w:after="160" w:line="259" w:lineRule="auto"/>
        <w:rPr>
          <w:rFonts w:eastAsiaTheme="majorEastAsia" w:cstheme="majorBidi"/>
          <w:b/>
          <w:color w:val="005B82"/>
          <w:sz w:val="24"/>
          <w:szCs w:val="26"/>
        </w:rPr>
      </w:pPr>
      <w:r>
        <w:t>Geen.</w:t>
      </w:r>
      <w:r w:rsidR="006D3F43">
        <w:br w:type="page"/>
      </w:r>
    </w:p>
    <w:p w14:paraId="4F467ED6" w14:textId="77777777" w:rsidR="009E0FD0" w:rsidRDefault="009E0FD0" w:rsidP="003D0004">
      <w:pPr>
        <w:pStyle w:val="Kop2"/>
      </w:pPr>
      <w:r>
        <w:lastRenderedPageBreak/>
        <w:t xml:space="preserve">       </w:t>
      </w:r>
    </w:p>
    <w:p w14:paraId="5E7CB567" w14:textId="77777777" w:rsidR="00F84569" w:rsidRDefault="00F84569" w:rsidP="005A4B0C">
      <w:pPr>
        <w:pStyle w:val="Kop1"/>
        <w:keepLines w:val="0"/>
        <w:numPr>
          <w:ilvl w:val="0"/>
          <w:numId w:val="1"/>
        </w:numPr>
        <w:spacing w:before="120" w:after="240"/>
        <w:rPr>
          <w:rFonts w:cs="Arial"/>
          <w:color w:val="2F5496"/>
        </w:rPr>
      </w:pPr>
      <w:bookmarkStart w:id="11" w:name="_Toc69994993"/>
      <w:r w:rsidRPr="00F84569">
        <w:rPr>
          <w:rFonts w:cs="Arial"/>
          <w:color w:val="2F5496"/>
        </w:rPr>
        <w:t>Interne ontwikkelingen</w:t>
      </w:r>
      <w:bookmarkEnd w:id="11"/>
      <w:r w:rsidRPr="00F84569">
        <w:rPr>
          <w:rFonts w:cs="Arial"/>
          <w:color w:val="2F5496"/>
        </w:rPr>
        <w:t xml:space="preserve"> </w:t>
      </w:r>
    </w:p>
    <w:p w14:paraId="71480C34" w14:textId="267E819B" w:rsidR="00DC6534" w:rsidRPr="003B7C5A" w:rsidRDefault="00C102D2" w:rsidP="00C102D2">
      <w:pPr>
        <w:pStyle w:val="Kop2"/>
      </w:pPr>
      <w:bookmarkStart w:id="12" w:name="_Toc69994994"/>
      <w:r>
        <w:t xml:space="preserve">4.1 </w:t>
      </w:r>
      <w:r w:rsidR="003D0004">
        <w:t xml:space="preserve">Functiemix </w:t>
      </w:r>
      <w:r w:rsidR="006D3F43" w:rsidRPr="003B7C5A">
        <w:t>(zie ook hoofdstuk 5.10)</w:t>
      </w:r>
      <w:bookmarkEnd w:id="12"/>
    </w:p>
    <w:p w14:paraId="74091448" w14:textId="77777777" w:rsidR="005A4B0C" w:rsidRPr="005A4B0C" w:rsidRDefault="005A4B0C" w:rsidP="005A4B0C">
      <w:pPr>
        <w:rPr>
          <w:rFonts w:eastAsia="Calibri" w:cs="Times New Roman"/>
        </w:rPr>
      </w:pPr>
      <w:r w:rsidRPr="005A4B0C">
        <w:rPr>
          <w:rFonts w:eastAsia="Calibri" w:cs="Times New Roman"/>
        </w:rPr>
        <w:t>In het actieplan leerkracht en de CAO hebben het ministerie van OCW en de sociale partners gezamenlijke ambities en afspraken vastgelegd op het gebied van professionalisering en ook de invoering van de functiemix. Deze afspraken gelden nog steeds.</w:t>
      </w:r>
    </w:p>
    <w:p w14:paraId="1B5C15DB" w14:textId="77777777" w:rsidR="003B7C5A" w:rsidRDefault="003B7C5A" w:rsidP="003B7C5A">
      <w:pPr>
        <w:rPr>
          <w:rFonts w:eastAsia="Calibri" w:cs="Times New Roman"/>
        </w:rPr>
      </w:pPr>
    </w:p>
    <w:p w14:paraId="36BF243D" w14:textId="636C4991" w:rsidR="003B7C5A" w:rsidRDefault="003B7C5A" w:rsidP="003B7C5A">
      <w:pPr>
        <w:rPr>
          <w:rFonts w:eastAsia="Calibri" w:cs="Times New Roman"/>
        </w:rPr>
      </w:pPr>
      <w:r w:rsidRPr="00E56D17">
        <w:rPr>
          <w:rFonts w:eastAsia="Calibri" w:cs="Times New Roman"/>
        </w:rPr>
        <w:t>De scholen en de GMR maken jaarlijks afspraken over de percentages van de functiemix als onderdeel van het formatieplan. Uitgangspunt zijn de streefpercentages die voor 2014 zijn vastgelegd in het Meerjarenplan Functiemix van 28 april 2010</w:t>
      </w:r>
      <w:r w:rsidR="00D9415F">
        <w:rPr>
          <w:rFonts w:eastAsia="Calibri" w:cs="Times New Roman"/>
        </w:rPr>
        <w:t>.</w:t>
      </w:r>
    </w:p>
    <w:p w14:paraId="5DDDFC0B" w14:textId="77777777" w:rsidR="003B7C5A" w:rsidRPr="00E56D17" w:rsidRDefault="003B7C5A" w:rsidP="003B7C5A">
      <w:pPr>
        <w:rPr>
          <w:rFonts w:eastAsia="Calibri" w:cs="Times New Roman"/>
        </w:rPr>
      </w:pPr>
    </w:p>
    <w:p w14:paraId="281B2191" w14:textId="77777777" w:rsidR="003B7C5A" w:rsidRDefault="003B7C5A" w:rsidP="003B7C5A">
      <w:pPr>
        <w:rPr>
          <w:rFonts w:eastAsia="Calibri" w:cs="Times New Roman"/>
        </w:rPr>
      </w:pPr>
      <w:r w:rsidRPr="00E56D17">
        <w:rPr>
          <w:rFonts w:eastAsia="Calibri" w:cs="Times New Roman"/>
        </w:rPr>
        <w:t>De functiemix wordt één keer per jaar gemeten, te weten 1 oktober. De meting van dat moment wordt besproken met de GMR. Uitkomst hiervan is de eventueel vervolgstap die aan de functiemix gegeven wordt</w:t>
      </w:r>
      <w:r>
        <w:rPr>
          <w:rFonts w:eastAsia="Calibri" w:cs="Times New Roman"/>
        </w:rPr>
        <w:t>.</w:t>
      </w:r>
    </w:p>
    <w:p w14:paraId="33E37CE9" w14:textId="77777777" w:rsidR="008909A1" w:rsidRDefault="008909A1" w:rsidP="003B7C5A">
      <w:pPr>
        <w:rPr>
          <w:rFonts w:eastAsia="Calibri" w:cs="Times New Roman"/>
        </w:rPr>
      </w:pPr>
    </w:p>
    <w:p w14:paraId="393BCA31" w14:textId="77777777" w:rsidR="00AA3A18" w:rsidRPr="004F7898" w:rsidRDefault="008909A1" w:rsidP="003B7C5A">
      <w:pPr>
        <w:rPr>
          <w:rFonts w:eastAsia="Calibri" w:cs="Times New Roman"/>
        </w:rPr>
      </w:pPr>
      <w:r w:rsidRPr="004F7898">
        <w:rPr>
          <w:rFonts w:eastAsia="Calibri" w:cs="Times New Roman"/>
        </w:rPr>
        <w:t xml:space="preserve">Voor 2020-2021 is de voorgestelde groei in het formatieplan gerealiseerd, er zijn 2 LD-ers </w:t>
      </w:r>
      <w:r w:rsidR="00EB3F64" w:rsidRPr="004F7898">
        <w:rPr>
          <w:rFonts w:eastAsia="Calibri" w:cs="Times New Roman"/>
        </w:rPr>
        <w:t xml:space="preserve">(2 fte) </w:t>
      </w:r>
      <w:r w:rsidRPr="004F7898">
        <w:rPr>
          <w:rFonts w:eastAsia="Calibri" w:cs="Times New Roman"/>
        </w:rPr>
        <w:t xml:space="preserve">en </w:t>
      </w:r>
      <w:r w:rsidR="00EB3F64" w:rsidRPr="004F7898">
        <w:rPr>
          <w:rFonts w:eastAsia="Calibri" w:cs="Times New Roman"/>
        </w:rPr>
        <w:t>2</w:t>
      </w:r>
      <w:r w:rsidRPr="004F7898">
        <w:rPr>
          <w:rFonts w:eastAsia="Calibri" w:cs="Times New Roman"/>
        </w:rPr>
        <w:t xml:space="preserve"> LC-er</w:t>
      </w:r>
      <w:r w:rsidR="00EB3F64" w:rsidRPr="004F7898">
        <w:rPr>
          <w:rFonts w:eastAsia="Calibri" w:cs="Times New Roman"/>
        </w:rPr>
        <w:t>s (1,6 fte)</w:t>
      </w:r>
      <w:r w:rsidRPr="004F7898">
        <w:rPr>
          <w:rFonts w:eastAsia="Calibri" w:cs="Times New Roman"/>
        </w:rPr>
        <w:t xml:space="preserve"> benoemd in Kampen.</w:t>
      </w:r>
      <w:r w:rsidR="00EB3F64" w:rsidRPr="004F7898">
        <w:rPr>
          <w:rFonts w:eastAsia="Calibri" w:cs="Times New Roman"/>
        </w:rPr>
        <w:t xml:space="preserve"> </w:t>
      </w:r>
    </w:p>
    <w:p w14:paraId="45C88195" w14:textId="77777777" w:rsidR="00425038" w:rsidRPr="004F7898" w:rsidRDefault="00425038" w:rsidP="003B7C5A">
      <w:pPr>
        <w:rPr>
          <w:rFonts w:eastAsia="Calibri" w:cs="Times New Roman"/>
        </w:rPr>
      </w:pPr>
    </w:p>
    <w:p w14:paraId="7843B388" w14:textId="77777777" w:rsidR="00E846C3" w:rsidRPr="00E930C5" w:rsidRDefault="00425038" w:rsidP="003B7C5A">
      <w:pPr>
        <w:rPr>
          <w:rFonts w:eastAsia="Calibri" w:cs="Times New Roman"/>
        </w:rPr>
      </w:pPr>
      <w:r w:rsidRPr="00E930C5">
        <w:rPr>
          <w:rFonts w:eastAsia="Calibri" w:cs="Times New Roman"/>
        </w:rPr>
        <w:t xml:space="preserve">In schooljaar </w:t>
      </w:r>
      <w:r w:rsidR="00D9415F" w:rsidRPr="00E930C5">
        <w:rPr>
          <w:rFonts w:eastAsia="Calibri" w:cs="Times New Roman"/>
        </w:rPr>
        <w:t>20</w:t>
      </w:r>
      <w:r w:rsidRPr="00E930C5">
        <w:rPr>
          <w:rFonts w:eastAsia="Calibri" w:cs="Times New Roman"/>
        </w:rPr>
        <w:t>21-</w:t>
      </w:r>
      <w:r w:rsidR="00D9415F" w:rsidRPr="00E930C5">
        <w:rPr>
          <w:rFonts w:eastAsia="Calibri" w:cs="Times New Roman"/>
        </w:rPr>
        <w:t>20</w:t>
      </w:r>
      <w:r w:rsidRPr="00E930C5">
        <w:rPr>
          <w:rFonts w:eastAsia="Calibri" w:cs="Times New Roman"/>
        </w:rPr>
        <w:t xml:space="preserve">22 </w:t>
      </w:r>
      <w:r w:rsidR="00E846C3" w:rsidRPr="00E930C5">
        <w:rPr>
          <w:rFonts w:eastAsia="Calibri" w:cs="Times New Roman"/>
        </w:rPr>
        <w:t xml:space="preserve">wordt </w:t>
      </w:r>
      <w:r w:rsidRPr="00E930C5">
        <w:rPr>
          <w:rFonts w:eastAsia="Calibri" w:cs="Times New Roman"/>
        </w:rPr>
        <w:t>de functiemix in sollicitatieprocedure LC/LD uitgerold en geeffectueerd</w:t>
      </w:r>
      <w:r w:rsidR="001C683A" w:rsidRPr="00E930C5">
        <w:rPr>
          <w:rFonts w:eastAsia="Calibri" w:cs="Times New Roman"/>
        </w:rPr>
        <w:t>.</w:t>
      </w:r>
    </w:p>
    <w:p w14:paraId="52255114" w14:textId="01029DE9" w:rsidR="001C683A" w:rsidRPr="00E930C5" w:rsidRDefault="001C683A" w:rsidP="003B7C5A">
      <w:pPr>
        <w:rPr>
          <w:rFonts w:eastAsia="Calibri" w:cs="Times New Roman"/>
        </w:rPr>
      </w:pPr>
      <w:r w:rsidRPr="00E930C5">
        <w:rPr>
          <w:rFonts w:eastAsia="Calibri" w:cs="Times New Roman"/>
        </w:rPr>
        <w:t>I</w:t>
      </w:r>
      <w:r w:rsidR="00425038" w:rsidRPr="00E930C5">
        <w:rPr>
          <w:rFonts w:eastAsia="Calibri" w:cs="Times New Roman"/>
        </w:rPr>
        <w:t xml:space="preserve">n </w:t>
      </w:r>
      <w:r w:rsidR="00E846C3" w:rsidRPr="00E930C5">
        <w:rPr>
          <w:rFonts w:eastAsia="Calibri" w:cs="Times New Roman"/>
        </w:rPr>
        <w:t xml:space="preserve">Dronten wordt er, na </w:t>
      </w:r>
      <w:r w:rsidR="00425038" w:rsidRPr="00E930C5">
        <w:rPr>
          <w:rFonts w:eastAsia="Calibri" w:cs="Times New Roman"/>
        </w:rPr>
        <w:t>overleg met de DMR Dronten</w:t>
      </w:r>
      <w:r w:rsidR="00E846C3" w:rsidRPr="00E930C5">
        <w:rPr>
          <w:rFonts w:eastAsia="Calibri" w:cs="Times New Roman"/>
        </w:rPr>
        <w:t>,</w:t>
      </w:r>
      <w:r w:rsidRPr="00E930C5">
        <w:rPr>
          <w:rFonts w:eastAsia="Calibri" w:cs="Times New Roman"/>
        </w:rPr>
        <w:t xml:space="preserve"> 1 LD </w:t>
      </w:r>
      <w:r w:rsidR="00E846C3" w:rsidRPr="00E930C5">
        <w:rPr>
          <w:rFonts w:eastAsia="Calibri" w:cs="Times New Roman"/>
        </w:rPr>
        <w:t xml:space="preserve">functie </w:t>
      </w:r>
      <w:r w:rsidRPr="00E930C5">
        <w:rPr>
          <w:rFonts w:eastAsia="Calibri" w:cs="Times New Roman"/>
        </w:rPr>
        <w:t>geworven</w:t>
      </w:r>
      <w:r w:rsidR="00E846C3" w:rsidRPr="00E930C5">
        <w:rPr>
          <w:rFonts w:eastAsia="Calibri" w:cs="Times New Roman"/>
        </w:rPr>
        <w:t>. D</w:t>
      </w:r>
      <w:r w:rsidRPr="00E930C5">
        <w:rPr>
          <w:rFonts w:eastAsia="Calibri" w:cs="Times New Roman"/>
        </w:rPr>
        <w:t xml:space="preserve">aarnaast is er </w:t>
      </w:r>
      <w:r w:rsidR="00E846C3" w:rsidRPr="00E930C5">
        <w:rPr>
          <w:rFonts w:eastAsia="Calibri" w:cs="Times New Roman"/>
        </w:rPr>
        <w:t xml:space="preserve">in Dronten </w:t>
      </w:r>
      <w:r w:rsidRPr="00E930C5">
        <w:rPr>
          <w:rFonts w:eastAsia="Calibri" w:cs="Times New Roman"/>
        </w:rPr>
        <w:t>sprake van nog 2 LD</w:t>
      </w:r>
      <w:r w:rsidR="00E846C3" w:rsidRPr="00E930C5">
        <w:rPr>
          <w:rFonts w:eastAsia="Calibri" w:cs="Times New Roman"/>
        </w:rPr>
        <w:t xml:space="preserve"> functies</w:t>
      </w:r>
      <w:r w:rsidRPr="00E930C5">
        <w:rPr>
          <w:rFonts w:eastAsia="Calibri" w:cs="Times New Roman"/>
        </w:rPr>
        <w:t>, dit komt enerzijds door invulling van een recente vacature en anderzijds door verplichtingen vanuit het verleden. In Kampen word</w:t>
      </w:r>
      <w:r w:rsidR="00E846C3" w:rsidRPr="00E930C5">
        <w:rPr>
          <w:rFonts w:eastAsia="Calibri" w:cs="Times New Roman"/>
        </w:rPr>
        <w:t>en</w:t>
      </w:r>
      <w:r w:rsidRPr="00E930C5">
        <w:rPr>
          <w:rFonts w:eastAsia="Calibri" w:cs="Times New Roman"/>
        </w:rPr>
        <w:t xml:space="preserve"> </w:t>
      </w:r>
      <w:r w:rsidR="00E846C3" w:rsidRPr="00E930C5">
        <w:rPr>
          <w:rFonts w:eastAsia="Calibri" w:cs="Times New Roman"/>
        </w:rPr>
        <w:t xml:space="preserve">3 LD functies of een equivalent aantal LC geworven.  </w:t>
      </w:r>
    </w:p>
    <w:p w14:paraId="4062DCFD" w14:textId="77777777" w:rsidR="00EB3F64" w:rsidRPr="004F7898" w:rsidRDefault="00EB3F64" w:rsidP="003B7C5A">
      <w:pPr>
        <w:rPr>
          <w:rFonts w:eastAsia="Calibri" w:cs="Times New Roman"/>
        </w:rPr>
      </w:pPr>
    </w:p>
    <w:p w14:paraId="359113A9" w14:textId="45EA67BB" w:rsidR="00EB3F64" w:rsidRPr="00FF4F1B" w:rsidRDefault="00FF4F1B" w:rsidP="00FF4F1B">
      <w:pPr>
        <w:rPr>
          <w:rFonts w:eastAsia="Calibri" w:cs="Times New Roman"/>
        </w:rPr>
      </w:pPr>
      <w:r w:rsidRPr="00FF4F1B">
        <w:rPr>
          <w:rFonts w:eastAsia="Calibri" w:cs="Times New Roman"/>
        </w:rPr>
        <w:t>In paragraaf 5.</w:t>
      </w:r>
      <w:r w:rsidR="00B176BF">
        <w:rPr>
          <w:rFonts w:eastAsia="Calibri" w:cs="Times New Roman"/>
        </w:rPr>
        <w:t>9</w:t>
      </w:r>
      <w:r w:rsidRPr="00FF4F1B">
        <w:rPr>
          <w:rFonts w:eastAsia="Calibri" w:cs="Times New Roman"/>
        </w:rPr>
        <w:t xml:space="preserve"> wordt nader ingegaan op de functiemix en worden de groeipercentages benoemd. We groeien stap voor stap toe naar de functiemix. Allereerst  vanwege de financiële opgave voor de komende jaren, maar ook om de nieuwe LC/LD-functies effectief in te betten in de schoolorganisatie.</w:t>
      </w:r>
    </w:p>
    <w:p w14:paraId="19AC1762" w14:textId="1E0FB7B7" w:rsidR="003D0004" w:rsidRDefault="003D0004" w:rsidP="00DC6534">
      <w:pPr>
        <w:pStyle w:val="Kop2"/>
      </w:pPr>
    </w:p>
    <w:p w14:paraId="5C07B448" w14:textId="77777777" w:rsidR="00FF4F1B" w:rsidRPr="00FF4F1B" w:rsidRDefault="00FF4F1B" w:rsidP="00FF4F1B"/>
    <w:p w14:paraId="7A09CE09" w14:textId="7FBB6898" w:rsidR="00DC6534" w:rsidRDefault="00C102D2" w:rsidP="00C102D2">
      <w:pPr>
        <w:pStyle w:val="Kop2"/>
        <w:numPr>
          <w:ilvl w:val="1"/>
          <w:numId w:val="33"/>
        </w:numPr>
      </w:pPr>
      <w:r>
        <w:t xml:space="preserve"> </w:t>
      </w:r>
      <w:bookmarkStart w:id="13" w:name="_Toc69994995"/>
      <w:r w:rsidR="003D0004">
        <w:t>Onderwijstijd</w:t>
      </w:r>
      <w:bookmarkEnd w:id="13"/>
      <w:r w:rsidR="003D0004">
        <w:t xml:space="preserve"> </w:t>
      </w:r>
    </w:p>
    <w:p w14:paraId="65321B64" w14:textId="77777777" w:rsidR="00DC6534" w:rsidRPr="00DC6534" w:rsidRDefault="00DC6534" w:rsidP="00DC6534">
      <w:r w:rsidRPr="00DC6534">
        <w:t xml:space="preserve">Leerlingen moeten voldoende tijd krijgen om de leerstof te verwerven. De wet schrijft voor dat elke leerling een programma moet kunnen volgen van tenminste 3700 uur voor vmbo, 4700 uur voor havo of 5700 uur voor vwo. Dit mag naar eigen inzicht worden gespreid over de volledige opleidingsduur. Voor individuele leerlingen mag van die norm worden afgeweken. </w:t>
      </w:r>
    </w:p>
    <w:p w14:paraId="4E51A95D" w14:textId="77777777" w:rsidR="00DC6534" w:rsidRPr="00DC6534" w:rsidRDefault="00DC6534" w:rsidP="00DC6534">
      <w:r w:rsidRPr="00DC6534">
        <w:t xml:space="preserve">Voor het praktijkonderwijs geldt dat er 1000 klokuren per jaar onderwijs moet worden gegeven (art. 10f, lid 3a, WVO). Spreiding over de jaren is binnen het praktijkonderwijs niet mogelijk. Deze uren moeten worden ingevuld met activiteiten die worden verzorgd in het onderwijsprogramma (art. 6g, tweede lid, WVO). </w:t>
      </w:r>
    </w:p>
    <w:p w14:paraId="2DDB2D0D" w14:textId="77777777" w:rsidR="00DC6534" w:rsidRPr="00DC6534" w:rsidRDefault="00DC6534" w:rsidP="00DC6534"/>
    <w:p w14:paraId="4C5C2483" w14:textId="77777777" w:rsidR="00DC6534" w:rsidRPr="00DC6534" w:rsidRDefault="00DC6534" w:rsidP="00DC6534">
      <w:r w:rsidRPr="00DC6534">
        <w:t xml:space="preserve">Onderwijstijd is een belangrijk formatiekader. De school moet zich middels de lessentabel jaarlijks verantwoorden voor het programmeren van voldoende onderwijstijd. </w:t>
      </w:r>
      <w:r w:rsidR="00EB3F64">
        <w:t xml:space="preserve">Het </w:t>
      </w:r>
      <w:r w:rsidRPr="00DC6534">
        <w:t xml:space="preserve">roosterwerkplan </w:t>
      </w:r>
      <w:r w:rsidR="00EB3F64">
        <w:t xml:space="preserve">is </w:t>
      </w:r>
      <w:r w:rsidRPr="00DC6534">
        <w:t xml:space="preserve">geschreven en de jaarplanning </w:t>
      </w:r>
      <w:r w:rsidR="00EB3F64">
        <w:t xml:space="preserve">wordt </w:t>
      </w:r>
      <w:r w:rsidRPr="00DC6534">
        <w:t xml:space="preserve">opgesteld om de kaders </w:t>
      </w:r>
      <w:r w:rsidR="00EB3F64">
        <w:t xml:space="preserve">van de onderwijstijd </w:t>
      </w:r>
      <w:r w:rsidRPr="00DC6534">
        <w:t xml:space="preserve">te waarborgen. </w:t>
      </w:r>
      <w:r w:rsidR="00DE5E3D">
        <w:t>Op beide scholen wordt de registratie van de onderwijstijd aangescherpt.</w:t>
      </w:r>
    </w:p>
    <w:p w14:paraId="05F198CC" w14:textId="77777777" w:rsidR="00DC6534" w:rsidRPr="00DC6534" w:rsidRDefault="00DC6534" w:rsidP="00DC6534"/>
    <w:p w14:paraId="207F9078" w14:textId="77777777" w:rsidR="00DC6534" w:rsidRPr="00DC6534" w:rsidRDefault="00DC6534" w:rsidP="00DC6534">
      <w:r w:rsidRPr="00DC6534">
        <w:t xml:space="preserve">In zijn algemeenheid zijn er door de overheid drie criteria met de onderwijstijd verbonden. </w:t>
      </w:r>
    </w:p>
    <w:p w14:paraId="58D61493" w14:textId="77777777" w:rsidR="00DC6534" w:rsidRPr="00DC6534" w:rsidRDefault="00DC6534" w:rsidP="00DC6534">
      <w:r w:rsidRPr="00DC6534">
        <w:t xml:space="preserve">Het eerste criterium voor onderwijstijd is dat het moet gaan om (onderwijs)activiteiten die verzorgd worden onder verantwoordelijkheid van een medewerker die op grond van artikel 33 van de WVO onderwijs mogen verzorgen. Het tweede criterium is dat de onderwijstijd onder verantwoordelijkheid van de school bewust gepland en verzorgd moet worden voor de gehele leerroute van een leerroute. De school is verantwoordelijk voor de vormgeving, uitvoering en evaluatie van het onderwijsprogramma en daarmee van het leerproces, evenals voor de bijdrage aan de persoonlijke en maatschappelijke vorming. </w:t>
      </w:r>
    </w:p>
    <w:p w14:paraId="27E02219" w14:textId="77777777" w:rsidR="00DC6534" w:rsidRPr="00DC6534" w:rsidRDefault="00DC6534" w:rsidP="00DC6534"/>
    <w:p w14:paraId="5C88D2A0" w14:textId="77777777" w:rsidR="00DC6534" w:rsidRPr="00DC6534" w:rsidRDefault="00DC6534" w:rsidP="00DC6534">
      <w:r w:rsidRPr="00DC6534">
        <w:t>Verder  is belangrijk dat met de medezeggenschapsraad wordt afgesproken:</w:t>
      </w:r>
    </w:p>
    <w:p w14:paraId="08053126" w14:textId="77777777" w:rsidR="00DC6534" w:rsidRPr="00DC6534" w:rsidRDefault="00DC6534" w:rsidP="005A4B0C">
      <w:pPr>
        <w:numPr>
          <w:ilvl w:val="0"/>
          <w:numId w:val="4"/>
        </w:numPr>
        <w:contextualSpacing/>
      </w:pPr>
      <w:r w:rsidRPr="00DC6534">
        <w:t xml:space="preserve">Welke soorten onderwijsactiviteiten worden ingepland als onderwijstijd; </w:t>
      </w:r>
    </w:p>
    <w:p w14:paraId="4A3B3D4B" w14:textId="77777777" w:rsidR="00DC6534" w:rsidRPr="00DC6534" w:rsidRDefault="00DC6534" w:rsidP="005A4B0C">
      <w:pPr>
        <w:numPr>
          <w:ilvl w:val="0"/>
          <w:numId w:val="4"/>
        </w:numPr>
        <w:contextualSpacing/>
      </w:pPr>
      <w:r w:rsidRPr="00DC6534">
        <w:t>Op welke wijze vindt de registratie van de onderwijstijd plaats;</w:t>
      </w:r>
    </w:p>
    <w:p w14:paraId="5DAB52D1" w14:textId="77777777" w:rsidR="00DC6534" w:rsidRPr="00DC6534" w:rsidRDefault="00DC6534" w:rsidP="005A4B0C">
      <w:pPr>
        <w:numPr>
          <w:ilvl w:val="0"/>
          <w:numId w:val="4"/>
        </w:numPr>
        <w:contextualSpacing/>
      </w:pPr>
      <w:r w:rsidRPr="00DC6534">
        <w:t xml:space="preserve">Wat is het beleid voor het omgaan met lesuitval; </w:t>
      </w:r>
    </w:p>
    <w:p w14:paraId="1094FD56" w14:textId="77777777" w:rsidR="00DC6534" w:rsidRPr="00DC6534" w:rsidRDefault="00DC6534" w:rsidP="005A4B0C">
      <w:pPr>
        <w:numPr>
          <w:ilvl w:val="0"/>
          <w:numId w:val="4"/>
        </w:numPr>
        <w:contextualSpacing/>
      </w:pPr>
      <w:r w:rsidRPr="00DC6534">
        <w:t xml:space="preserve">Op welke dagen verzorgt de school geen onderwijs (roostervrije dagen voor leerlingen). </w:t>
      </w:r>
    </w:p>
    <w:p w14:paraId="3EC784D0" w14:textId="77777777" w:rsidR="00DC6534" w:rsidRPr="00DC6534" w:rsidRDefault="00DC6534" w:rsidP="00DC6534"/>
    <w:p w14:paraId="073EFEBA" w14:textId="260F8530" w:rsidR="00DC6534" w:rsidRPr="00DC6534" w:rsidRDefault="00DC6534" w:rsidP="00DC6534">
      <w:r w:rsidRPr="00DC6534">
        <w:t xml:space="preserve">In de wet is voorgeschreven dat een leerling ten minste 189 </w:t>
      </w:r>
      <w:r w:rsidRPr="00FF4F1B">
        <w:t xml:space="preserve">dagen </w:t>
      </w:r>
      <w:r w:rsidR="001F7445" w:rsidRPr="00FF4F1B">
        <w:t>(gemeten van 1-10 tot 1-10)</w:t>
      </w:r>
      <w:r w:rsidR="001F7445" w:rsidRPr="001F7445">
        <w:rPr>
          <w:color w:val="FF0000"/>
        </w:rPr>
        <w:t xml:space="preserve"> </w:t>
      </w:r>
      <w:r w:rsidRPr="00DC6534">
        <w:t xml:space="preserve">onderwijs moet kunnen volgen, met dien verstande dat wanneer er vanwege de vakantiespreiding een week minder beschikbaar is dit 184 dagen zijn. Er hoeft geen onderwijs te worden verzorgd vanaf de aanvang van het eerste tijdvak waarin het centraal examen wordt afgenomen (art. 6g1, WVO). </w:t>
      </w:r>
    </w:p>
    <w:p w14:paraId="16BECCE9" w14:textId="77777777" w:rsidR="00DC6534" w:rsidRPr="00DC6534" w:rsidRDefault="00DC6534" w:rsidP="00DC6534"/>
    <w:p w14:paraId="30C7C7FC" w14:textId="77777777" w:rsidR="00DC6534" w:rsidRPr="00425038" w:rsidRDefault="00425038" w:rsidP="00DC6534">
      <w:r w:rsidRPr="00425038">
        <w:t>In het</w:t>
      </w:r>
      <w:r w:rsidR="003C036F" w:rsidRPr="00425038">
        <w:t xml:space="preserve"> schooljaar 202</w:t>
      </w:r>
      <w:r w:rsidRPr="00425038">
        <w:t>1</w:t>
      </w:r>
      <w:r w:rsidR="003C036F" w:rsidRPr="00425038">
        <w:t>-202</w:t>
      </w:r>
      <w:r w:rsidRPr="00425038">
        <w:t>2</w:t>
      </w:r>
      <w:r w:rsidR="003C036F" w:rsidRPr="00425038">
        <w:t xml:space="preserve"> wordt bovens</w:t>
      </w:r>
      <w:r w:rsidR="00DC6534" w:rsidRPr="00425038">
        <w:t xml:space="preserve">taande door onze scholen op de juiste wijze uitgevoerd </w:t>
      </w:r>
      <w:r w:rsidR="003C036F" w:rsidRPr="00425038">
        <w:t xml:space="preserve">en opgenomen in de jaarplanner. Er is ook overleg daarover </w:t>
      </w:r>
      <w:r w:rsidR="00DC6534" w:rsidRPr="00425038">
        <w:t xml:space="preserve">met de medezeggenschapsraden. </w:t>
      </w:r>
    </w:p>
    <w:p w14:paraId="7B4FD101" w14:textId="77777777" w:rsidR="00DC6534" w:rsidRPr="00DC6534" w:rsidRDefault="00DC6534" w:rsidP="00DC6534"/>
    <w:p w14:paraId="401217FD" w14:textId="3058A227" w:rsidR="00DC6534" w:rsidRPr="00FF4F1B" w:rsidRDefault="00DC6534" w:rsidP="003C036F">
      <w:r w:rsidRPr="00DC6534">
        <w:t xml:space="preserve">Aan dit formatieplan </w:t>
      </w:r>
      <w:r w:rsidR="00FF4F1B">
        <w:t>wordt verwezen naar de</w:t>
      </w:r>
      <w:r w:rsidRPr="00DC6534">
        <w:t xml:space="preserve"> verschillende lessentabellen</w:t>
      </w:r>
      <w:r w:rsidR="00740884" w:rsidRPr="00FF4F1B">
        <w:t>, de DMR’n hebben al eerder instemming daarop gegeven.</w:t>
      </w:r>
      <w:r w:rsidR="00601A68" w:rsidRPr="00FF4F1B">
        <w:t xml:space="preserve"> </w:t>
      </w:r>
    </w:p>
    <w:p w14:paraId="112F0BDF" w14:textId="77777777" w:rsidR="007632FD" w:rsidRPr="004F444A" w:rsidRDefault="003D0004" w:rsidP="00DC6534">
      <w:pPr>
        <w:pStyle w:val="Kop2"/>
        <w:rPr>
          <w:color w:val="00B050"/>
        </w:rPr>
      </w:pPr>
      <w:r w:rsidRPr="004F444A">
        <w:rPr>
          <w:color w:val="00B050"/>
        </w:rPr>
        <w:t xml:space="preserve"> </w:t>
      </w:r>
    </w:p>
    <w:p w14:paraId="54E71E03" w14:textId="77777777" w:rsidR="003D0004" w:rsidRDefault="003D0004" w:rsidP="00DC6534">
      <w:pPr>
        <w:pStyle w:val="Kop2"/>
      </w:pPr>
      <w:r>
        <w:t xml:space="preserve">   </w:t>
      </w:r>
    </w:p>
    <w:p w14:paraId="4177352D" w14:textId="564A62BC" w:rsidR="003D0004" w:rsidRDefault="00C102D2" w:rsidP="00C102D2">
      <w:pPr>
        <w:pStyle w:val="Kop2"/>
        <w:numPr>
          <w:ilvl w:val="1"/>
          <w:numId w:val="33"/>
        </w:numPr>
      </w:pPr>
      <w:r>
        <w:t xml:space="preserve"> </w:t>
      </w:r>
      <w:bookmarkStart w:id="14" w:name="_Toc69994996"/>
      <w:r w:rsidR="003D0004">
        <w:t>Persoonlijk budget en Seniorenverlof</w:t>
      </w:r>
      <w:bookmarkEnd w:id="14"/>
      <w:r w:rsidR="003D0004">
        <w:t xml:space="preserve">  </w:t>
      </w:r>
    </w:p>
    <w:p w14:paraId="153FE242" w14:textId="77777777" w:rsidR="00601A68" w:rsidRDefault="00601A68" w:rsidP="00DC6534"/>
    <w:p w14:paraId="73BBE212" w14:textId="77777777" w:rsidR="00DC6534" w:rsidRPr="00DC6534" w:rsidRDefault="00DC6534" w:rsidP="00DC6534">
      <w:r w:rsidRPr="00DC6534">
        <w:t>Persoonlijk budget (CAO-VO):</w:t>
      </w:r>
    </w:p>
    <w:p w14:paraId="09DCBA8A" w14:textId="77777777" w:rsidR="00DC6534" w:rsidRPr="00DC6534" w:rsidRDefault="00DC6534" w:rsidP="005A4B0C">
      <w:pPr>
        <w:numPr>
          <w:ilvl w:val="0"/>
          <w:numId w:val="8"/>
        </w:numPr>
        <w:contextualSpacing/>
      </w:pPr>
      <w:r w:rsidRPr="00DC6534">
        <w:t xml:space="preserve">Elke medewerker krijgt jaarlijks de beschikking over 50 klokuren </w:t>
      </w:r>
      <w:r w:rsidR="003C036F">
        <w:t xml:space="preserve">naar rato van de aanstelling </w:t>
      </w:r>
      <w:r w:rsidRPr="00DC6534">
        <w:t xml:space="preserve">om keuzes te maken die passen binnen zijn/haar levensfase en persoonlijke situatie.  </w:t>
      </w:r>
    </w:p>
    <w:p w14:paraId="73ECE61E" w14:textId="77777777" w:rsidR="00DC6534" w:rsidRPr="00DC6534" w:rsidRDefault="00DC6534" w:rsidP="005A4B0C">
      <w:pPr>
        <w:numPr>
          <w:ilvl w:val="0"/>
          <w:numId w:val="8"/>
        </w:numPr>
        <w:contextualSpacing/>
      </w:pPr>
      <w:r w:rsidRPr="00DC6534">
        <w:t xml:space="preserve">De medewerker van 57 jaar en ouder heeft recht op een aanvulling op dit budget van 120 klokuren met een eigen bijdrage van 50% (voor OOP schaal 1 t/m 8 is dit 40%). </w:t>
      </w:r>
    </w:p>
    <w:p w14:paraId="6245109F" w14:textId="77777777" w:rsidR="00DC6534" w:rsidRPr="00DC6534" w:rsidRDefault="00DC6534" w:rsidP="005A4B0C">
      <w:pPr>
        <w:numPr>
          <w:ilvl w:val="0"/>
          <w:numId w:val="8"/>
        </w:numPr>
        <w:contextualSpacing/>
      </w:pPr>
      <w:r w:rsidRPr="00DC6534">
        <w:t xml:space="preserve">De medewerker van 57 jaar en ouder heeft het recht om het budget met maximaal 170 klokuren aan te vullen met een eigen bijdrage van 100%. </w:t>
      </w:r>
    </w:p>
    <w:p w14:paraId="0E9B8A31" w14:textId="77777777" w:rsidR="00DC6534" w:rsidRPr="00DC6534" w:rsidRDefault="00DC6534" w:rsidP="00DC6534"/>
    <w:p w14:paraId="001138E5" w14:textId="77777777" w:rsidR="00DC6534" w:rsidRPr="00DC6534" w:rsidRDefault="00DC6534" w:rsidP="00DC6534">
      <w:r w:rsidRPr="00DC6534">
        <w:t xml:space="preserve">Consequentie van deze maatregel is dat deze uren niet in te zetten zijn binnen het reguliere taakbeleid. Een fulltime medewerker met een dienstverband van 1659 uur kan op basis hiervan maar 1609 uur door de werkgever worden ingezet, 50 klokuren zijn naar eigen inzicht door de medewerker in te zetten ten behoeve van werkdrukvermindering. </w:t>
      </w:r>
    </w:p>
    <w:p w14:paraId="2FC05A6C" w14:textId="77777777" w:rsidR="00DC6534" w:rsidRPr="00DC6534" w:rsidRDefault="00DC6534" w:rsidP="00DC6534">
      <w:r w:rsidRPr="00DC6534">
        <w:t xml:space="preserve"> </w:t>
      </w:r>
    </w:p>
    <w:p w14:paraId="0159A1AE" w14:textId="77777777" w:rsidR="00DC6534" w:rsidRPr="00DC6534" w:rsidRDefault="00DC6534" w:rsidP="00DC6534">
      <w:r w:rsidRPr="00DC6534">
        <w:t xml:space="preserve">Medewerkers hebben verschillende mogelijkheden om hun persoonlijk budget in te zetten: </w:t>
      </w:r>
    </w:p>
    <w:p w14:paraId="669C330D" w14:textId="77777777" w:rsidR="00DC6534" w:rsidRPr="00DC6534" w:rsidRDefault="00DC6534" w:rsidP="005A4B0C">
      <w:pPr>
        <w:numPr>
          <w:ilvl w:val="0"/>
          <w:numId w:val="7"/>
        </w:numPr>
        <w:ind w:left="360"/>
        <w:contextualSpacing/>
      </w:pPr>
      <w:r w:rsidRPr="00DC6534">
        <w:t xml:space="preserve">Werkdrukvermindering voor docenten; </w:t>
      </w:r>
    </w:p>
    <w:p w14:paraId="115F6553" w14:textId="77777777" w:rsidR="00DC6534" w:rsidRPr="00DC6534" w:rsidRDefault="00DC6534" w:rsidP="005A4B0C">
      <w:pPr>
        <w:numPr>
          <w:ilvl w:val="0"/>
          <w:numId w:val="7"/>
        </w:numPr>
        <w:ind w:left="360"/>
        <w:contextualSpacing/>
      </w:pPr>
      <w:r w:rsidRPr="00DC6534">
        <w:t xml:space="preserve">Verlofmogelijkheden als aanvullend ouderschapsverlof, extra zorgverlof, studieverlof en </w:t>
      </w:r>
    </w:p>
    <w:p w14:paraId="13BED9CD" w14:textId="77777777" w:rsidR="00DC6534" w:rsidRPr="00DC6534" w:rsidRDefault="00DC6534" w:rsidP="00DC6534">
      <w:pPr>
        <w:ind w:left="360"/>
        <w:contextualSpacing/>
      </w:pPr>
      <w:r w:rsidRPr="00DC6534">
        <w:t xml:space="preserve">recuperatieverlof; </w:t>
      </w:r>
    </w:p>
    <w:p w14:paraId="1BB64D3D" w14:textId="77777777" w:rsidR="00DC6534" w:rsidRPr="00DC6534" w:rsidRDefault="00DC6534" w:rsidP="005A4B0C">
      <w:pPr>
        <w:numPr>
          <w:ilvl w:val="0"/>
          <w:numId w:val="7"/>
        </w:numPr>
        <w:ind w:left="360"/>
        <w:contextualSpacing/>
      </w:pPr>
      <w:r w:rsidRPr="00DC6534">
        <w:t>Doelbesteding in geld voor kinderopvang, om pensioenaanspraken te verhogen en voor alle medewerkers en de uitbetalingsmogelijkheid (geldt alleen voor medewerkers van Ichthus College).</w:t>
      </w:r>
    </w:p>
    <w:p w14:paraId="3BBDE6BE" w14:textId="77777777" w:rsidR="00DC6534" w:rsidRPr="00DC6534" w:rsidRDefault="00DC6534" w:rsidP="005A4B0C">
      <w:pPr>
        <w:numPr>
          <w:ilvl w:val="0"/>
          <w:numId w:val="5"/>
        </w:numPr>
        <w:ind w:left="360"/>
        <w:contextualSpacing/>
      </w:pPr>
      <w:r w:rsidRPr="00DC6534">
        <w:t xml:space="preserve">Medewerkers hebben tevens de mogelijkheid om het persoonlijk budget te sparen  Met de komst van de cao-VO 2016-2017 is hieraan geen maximum meer gekoppeld. Maar na vier jaar wordt wel de opbouw van 50 uren niet meer gegarandeerd. De uren worden omgezet in een bedrag op basis van het individueel uurloon en bij opname wordt dit omgekeerd opnieuw gedaan, alleen tegen het dan geldend uurloon. Het organiseren van vervanging van deze verlofperiodes zal flexibiliteit en creativiteit vragen aangaande de inzet van personeel. </w:t>
      </w:r>
    </w:p>
    <w:p w14:paraId="7F49C8BB" w14:textId="77777777" w:rsidR="00DC6534" w:rsidRPr="00DC6534" w:rsidRDefault="00DC6534" w:rsidP="005A4B0C">
      <w:pPr>
        <w:numPr>
          <w:ilvl w:val="0"/>
          <w:numId w:val="5"/>
        </w:numPr>
        <w:ind w:left="360"/>
        <w:contextualSpacing/>
      </w:pPr>
      <w:r w:rsidRPr="00DC6534">
        <w:t xml:space="preserve">Medewerkers van 57 jaar en ouder kunnen het totaalbudget inzetten ten behoeve van verlof.  </w:t>
      </w:r>
    </w:p>
    <w:p w14:paraId="4CA6B999" w14:textId="77777777" w:rsidR="00DC6534" w:rsidRPr="00DC6534" w:rsidRDefault="00DC6534" w:rsidP="00DC6534"/>
    <w:p w14:paraId="332B129A" w14:textId="77777777" w:rsidR="00DC6534" w:rsidRPr="00DC6534" w:rsidRDefault="00DC6534" w:rsidP="00DC6534">
      <w:r w:rsidRPr="00DC6534">
        <w:t xml:space="preserve">Mogelijke consequenties van het persoonlijk budget zijn: </w:t>
      </w:r>
    </w:p>
    <w:p w14:paraId="167566A1" w14:textId="77777777" w:rsidR="00DC6534" w:rsidRPr="00970CBC" w:rsidRDefault="00DC6534" w:rsidP="005A4B0C">
      <w:pPr>
        <w:numPr>
          <w:ilvl w:val="0"/>
          <w:numId w:val="6"/>
        </w:numPr>
        <w:contextualSpacing/>
      </w:pPr>
      <w:r w:rsidRPr="00970CBC">
        <w:lastRenderedPageBreak/>
        <w:t>Bij 50 klokuren: de medewerker kan bij een lesduur van 50 minuten zijn/haar lestaak met</w:t>
      </w:r>
      <w:r w:rsidR="00B131BF" w:rsidRPr="00970CBC">
        <w:t xml:space="preserve"> 1 lesuur per week verminderen. Bij een lesduur van 60 minuten komt de medewerker tekort om de lestaak met 1 lesuur te verminderen.</w:t>
      </w:r>
    </w:p>
    <w:p w14:paraId="30EEE94F" w14:textId="77777777" w:rsidR="00DC6534" w:rsidRPr="00970CBC" w:rsidRDefault="00DC6534" w:rsidP="005A4B0C">
      <w:pPr>
        <w:numPr>
          <w:ilvl w:val="0"/>
          <w:numId w:val="6"/>
        </w:numPr>
        <w:contextualSpacing/>
      </w:pPr>
      <w:r w:rsidRPr="00970CBC">
        <w:t>Bij 120 klokuren: de medewerker kan bij een lesduur van 50 minuten zijn/haar lestaak met 3 lesuren</w:t>
      </w:r>
      <w:r w:rsidR="00B131BF" w:rsidRPr="00970CBC">
        <w:t xml:space="preserve"> (bij 60 minuten met 2 lesuren)</w:t>
      </w:r>
      <w:r w:rsidRPr="00970CBC">
        <w:t xml:space="preserve"> per week verminderen. Opname van de uren wordt op een herkenbare wijze gedaan door een halve dag per week vrij te krijgen (bij fulltime dienstverband);</w:t>
      </w:r>
    </w:p>
    <w:p w14:paraId="587945BA" w14:textId="77777777" w:rsidR="00DC6534" w:rsidRPr="00970CBC" w:rsidRDefault="00DC6534" w:rsidP="005A4B0C">
      <w:pPr>
        <w:numPr>
          <w:ilvl w:val="0"/>
          <w:numId w:val="6"/>
        </w:numPr>
        <w:contextualSpacing/>
      </w:pPr>
      <w:r w:rsidRPr="00970CBC">
        <w:t xml:space="preserve">Bij 340 klokuren: de medewerker kan bij een lesduur van 50 minuten zijn/haar lestaak met 6 lesuren </w:t>
      </w:r>
      <w:r w:rsidR="00B131BF" w:rsidRPr="00970CBC">
        <w:t xml:space="preserve">(bij 60 minuten met 4 lesuren) </w:t>
      </w:r>
      <w:r w:rsidRPr="00970CBC">
        <w:t>per week verminderen.  Opname van de uren wordt op een herkenbare wijze gedaan door een halve dag per week vrij te krijgen (bij fulltime dienstverband);</w:t>
      </w:r>
    </w:p>
    <w:p w14:paraId="3F74DC18" w14:textId="77777777" w:rsidR="00DC6534" w:rsidRPr="00DC6534" w:rsidRDefault="00DC6534" w:rsidP="00DC6534">
      <w:r w:rsidRPr="00DC6534">
        <w:t xml:space="preserve"> </w:t>
      </w:r>
    </w:p>
    <w:p w14:paraId="012C514D" w14:textId="77777777" w:rsidR="00DC6534" w:rsidRPr="00DC6534" w:rsidRDefault="00DC6534" w:rsidP="00DC6534">
      <w:r w:rsidRPr="00DC6534">
        <w:t xml:space="preserve">Voor de startende leraar (vallend onder de CAO-VO) geldt het recht op een reductie van zijn lesgevende taak met 20% gedurende het eerste jaar van de aanstelling en 10% voor het tweede jaar van de aanstelling. Startende docenten met een lesreductie, komende gedurende die 2 jaar niet aanmerking voor het persoonlijk budget.  Onder een startende leraar wordt verstaan de medewerker met een eerste reguliere aanstelling in een leraarsfunctie, ongeacht de omvang van de betrekking. </w:t>
      </w:r>
    </w:p>
    <w:p w14:paraId="1C379C84" w14:textId="77777777" w:rsidR="00DC6534" w:rsidRPr="00DC6534" w:rsidRDefault="00DC6534" w:rsidP="00DC6534">
      <w:r w:rsidRPr="00DC6534">
        <w:t xml:space="preserve"> </w:t>
      </w:r>
    </w:p>
    <w:p w14:paraId="1C7C2782" w14:textId="77777777" w:rsidR="00DC6534" w:rsidRPr="00DC6534" w:rsidRDefault="00DC6534" w:rsidP="00DC6534">
      <w:r w:rsidRPr="00DC6534">
        <w:t xml:space="preserve">Hiermee heeft iedere medewerker dus optimale keuzevrijheid over de inzet van dit verlof. </w:t>
      </w:r>
    </w:p>
    <w:p w14:paraId="62046401" w14:textId="77777777" w:rsidR="00DC6534" w:rsidRPr="00DC6534" w:rsidRDefault="00DC6534" w:rsidP="00DC6534">
      <w:r w:rsidRPr="00DC6534">
        <w:t xml:space="preserve">Omdat alle gespaarde PB-uren in de loop van de jaren fors kunnen oplopen, is het belangrijk dat hiervoor een deugdelijke registratie wordt gevoerd evenals een goede reservering van de middelen. Voor de vervanging van medewerkers die langdurig spaarverlof opnemen moet namelijk vervanging worden gerealiseerd; de reservering van het verlof moet vrijvallen t.b.v. de exploitatie. </w:t>
      </w:r>
    </w:p>
    <w:p w14:paraId="5D7D5E47" w14:textId="77777777" w:rsidR="00DC6534" w:rsidRPr="00DC6534" w:rsidRDefault="00DC6534" w:rsidP="00DC6534"/>
    <w:p w14:paraId="2D96BF22" w14:textId="77777777" w:rsidR="00DC6534" w:rsidRDefault="00DC6534" w:rsidP="00DC6534">
      <w:r w:rsidRPr="00DC6534">
        <w:t xml:space="preserve">De financiële consequenties vallen binnen de formatiebudgetten van de eenheden. Voor uren die worden gespaard, wordt financieel gereserveerd (op basis van werkelijke loonkosten). Wat niet vergeten mag worden is dat gespaarde uren na 4 jaar niet meer worden geïndexeerd voor het werkelijke uurloon. Dit betekent dat de medewerker minder uren kan opnemen dan aanvankelijk werden gespaard. Deze reservering komt wel ten laste van het lopende formatiebudget. Voor medewerkers die verlof direct opnemen of kapitaliseren geldt dat deze kosten direct ten laste van de lopende formatiebudgetten gaat, hiervoor wordt dan niet gereserveerd.  </w:t>
      </w:r>
    </w:p>
    <w:p w14:paraId="0B2F4010" w14:textId="77777777" w:rsidR="008F791F" w:rsidRDefault="008F791F" w:rsidP="00DC6534"/>
    <w:p w14:paraId="2EB96EF2" w14:textId="77777777" w:rsidR="008F791F" w:rsidRPr="00970CBC" w:rsidRDefault="008F791F" w:rsidP="00DC6534">
      <w:r w:rsidRPr="00970CBC">
        <w:t>Binnen de stichting is afgesproken om PB uren boven schaal 8 ook uit te betalen, deze regeling was niet met het CvB overeengekomen. De toenmalige directie was niet bevoegd om af te wijken van de cao en daarom zal de regeling niet meer worden toegepast.</w:t>
      </w:r>
    </w:p>
    <w:p w14:paraId="1AE1F82F" w14:textId="77777777" w:rsidR="00DC6534" w:rsidRPr="00DC6534" w:rsidRDefault="00DC6534" w:rsidP="00DC6534"/>
    <w:p w14:paraId="69FAD460" w14:textId="701306F5" w:rsidR="003D0004" w:rsidRDefault="00C102D2" w:rsidP="00C102D2">
      <w:pPr>
        <w:pStyle w:val="Kop2"/>
        <w:numPr>
          <w:ilvl w:val="1"/>
          <w:numId w:val="33"/>
        </w:numPr>
      </w:pPr>
      <w:r>
        <w:t xml:space="preserve"> </w:t>
      </w:r>
      <w:bookmarkStart w:id="15" w:name="_Toc69994997"/>
      <w:r w:rsidR="003D0004">
        <w:t>P</w:t>
      </w:r>
      <w:r w:rsidR="003D0004" w:rsidRPr="00312E47">
        <w:t>rofessionalisering</w:t>
      </w:r>
      <w:bookmarkEnd w:id="15"/>
      <w:r w:rsidR="003D0004" w:rsidRPr="00312E47">
        <w:t xml:space="preserve"> </w:t>
      </w:r>
    </w:p>
    <w:p w14:paraId="56B254A5" w14:textId="77777777" w:rsidR="00DC6534" w:rsidRDefault="00DC6534" w:rsidP="00DC6534">
      <w:r>
        <w:t xml:space="preserve">In de CAO VO is een </w:t>
      </w:r>
      <w:r w:rsidR="007632FD">
        <w:t xml:space="preserve">basisrecht per schooljaar </w:t>
      </w:r>
      <w:r>
        <w:t xml:space="preserve">opgenomen voor </w:t>
      </w:r>
      <w:r w:rsidR="007632FD">
        <w:t xml:space="preserve">deskundigheidsbevordering en </w:t>
      </w:r>
      <w:r>
        <w:t>professionalisering</w:t>
      </w:r>
      <w:r w:rsidR="007632FD">
        <w:t>sactiviteiten</w:t>
      </w:r>
      <w:r>
        <w:t xml:space="preserve">: </w:t>
      </w:r>
    </w:p>
    <w:p w14:paraId="12661BC1" w14:textId="77777777" w:rsidR="007632FD" w:rsidRPr="008F791F" w:rsidRDefault="007632FD" w:rsidP="005A4B0C">
      <w:pPr>
        <w:pStyle w:val="Lijstalinea"/>
        <w:numPr>
          <w:ilvl w:val="0"/>
          <w:numId w:val="9"/>
        </w:numPr>
      </w:pPr>
      <w:r w:rsidRPr="008F791F">
        <w:t>Een leraar heeft recht op 83 klokuren;</w:t>
      </w:r>
    </w:p>
    <w:p w14:paraId="72437E79" w14:textId="77777777" w:rsidR="00DC6534" w:rsidRDefault="007632FD" w:rsidP="005A4B0C">
      <w:pPr>
        <w:pStyle w:val="Lijstalinea"/>
        <w:numPr>
          <w:ilvl w:val="0"/>
          <w:numId w:val="9"/>
        </w:numPr>
      </w:pPr>
      <w:r>
        <w:t>Een werknemer in de functiecategorie OOP heeft recht op 40 klokuren</w:t>
      </w:r>
      <w:r w:rsidR="00DC6534">
        <w:t>;</w:t>
      </w:r>
    </w:p>
    <w:p w14:paraId="2257CD1D" w14:textId="77777777" w:rsidR="00DC6534" w:rsidRDefault="007632FD" w:rsidP="005A4B0C">
      <w:pPr>
        <w:pStyle w:val="Lijstalinea"/>
        <w:numPr>
          <w:ilvl w:val="0"/>
          <w:numId w:val="9"/>
        </w:numPr>
      </w:pPr>
      <w:r>
        <w:t>E</w:t>
      </w:r>
      <w:r w:rsidR="00DC6534">
        <w:t xml:space="preserve">en persoonlijk scholingsbudget van </w:t>
      </w:r>
      <w:r w:rsidR="004F1D82">
        <w:t xml:space="preserve">€ </w:t>
      </w:r>
      <w:r w:rsidR="00DC6534">
        <w:t xml:space="preserve">600 voor OP en OOP. </w:t>
      </w:r>
    </w:p>
    <w:p w14:paraId="1D648D68" w14:textId="77777777" w:rsidR="007632FD" w:rsidRDefault="007632FD" w:rsidP="00DC6534">
      <w:r>
        <w:t>Een leraar of werknemer in de functiecategorie OOP beslist zelf hoe hij het basisrecht inzet.</w:t>
      </w:r>
    </w:p>
    <w:p w14:paraId="35918747" w14:textId="77777777" w:rsidR="00DC6534" w:rsidRDefault="00DC6534" w:rsidP="00DC6534">
      <w:r>
        <w:t xml:space="preserve"> </w:t>
      </w:r>
    </w:p>
    <w:p w14:paraId="61275479" w14:textId="1D32B0E3" w:rsidR="00DC6534" w:rsidRDefault="00DC6534" w:rsidP="00DC6534">
      <w:r>
        <w:t>Het streven is om de individuele ontwikkelvragen van medewerkers te verzamelen, zodat op schoolniveau een professionaliseringsplan kan worden opgezet dat aansluit bij de ontwikkeling van de school en de ontwikkelwens van medewerkers.</w:t>
      </w:r>
      <w:r w:rsidR="00970CBC" w:rsidRPr="00970CBC">
        <w:t xml:space="preserve"> Scholing die voor meerdere medewerkers wordt georganiseerd is opgenomen in het scholingsplan. </w:t>
      </w:r>
    </w:p>
    <w:p w14:paraId="3CE0924E" w14:textId="77777777" w:rsidR="00DC6534" w:rsidRDefault="00DC6534" w:rsidP="00DC6534">
      <w:pPr>
        <w:pStyle w:val="Lijstalinea"/>
      </w:pPr>
    </w:p>
    <w:p w14:paraId="0E5986D7" w14:textId="77777777" w:rsidR="00DC6534" w:rsidRPr="00DC6534" w:rsidRDefault="00DC6534" w:rsidP="00DC6534"/>
    <w:p w14:paraId="1B96AB0B" w14:textId="11E0D681" w:rsidR="00DC6534" w:rsidRDefault="00C102D2" w:rsidP="00C102D2">
      <w:pPr>
        <w:pStyle w:val="Kop2"/>
        <w:numPr>
          <w:ilvl w:val="1"/>
          <w:numId w:val="33"/>
        </w:numPr>
      </w:pPr>
      <w:r>
        <w:lastRenderedPageBreak/>
        <w:t xml:space="preserve"> </w:t>
      </w:r>
      <w:bookmarkStart w:id="16" w:name="_Toc69994998"/>
      <w:r w:rsidR="003D0004">
        <w:t>Werkgelegenheid</w:t>
      </w:r>
      <w:bookmarkEnd w:id="16"/>
      <w:r w:rsidR="003D0004">
        <w:t>  </w:t>
      </w:r>
    </w:p>
    <w:p w14:paraId="7E2C7CAA" w14:textId="77777777" w:rsidR="00DC6534" w:rsidRPr="004F1D82" w:rsidRDefault="00DC6534" w:rsidP="00DC6534">
      <w:r w:rsidRPr="004F1D82">
        <w:t xml:space="preserve">Middels de diverse onderwijsakkoorden is er lumpsum verstrekt aan het VO waarmee financiële ruimte is geboden om uitvoering te geven aan het beleid op gebied van werkgelegenheid. Er is een eenmalige uitkering ontvangen in de lumpsum bekostiging. Dit is niet alleen bedoeld voor nieuw jong personeel maar zeker ook voor het in dienst houden van jonge docenten.  </w:t>
      </w:r>
    </w:p>
    <w:p w14:paraId="0BB78464" w14:textId="77777777" w:rsidR="00DC6534" w:rsidRPr="00DC6534" w:rsidRDefault="00DC6534" w:rsidP="00DC6534"/>
    <w:p w14:paraId="1A5EA2E8" w14:textId="77777777" w:rsidR="00DC6534" w:rsidRPr="00DC6534" w:rsidRDefault="00DC6534" w:rsidP="00DC6534">
      <w:r w:rsidRPr="00DC6534">
        <w:t>De werkgever zal jaarlijks medewerkers moeten aannemen met een afstand tot de arbeidsmarkt. Op bestuursniveau wordt deze afspraak met de P(G)MR uitgewerkt in het overleg over het formatieplan. Op bestuursniveau wordt onderzoek gedaan naar de wijze waarop dit binnen Landstede Groep als collectief vorm kan krijgen, waarmee ook onze stichting kan worden bediend.</w:t>
      </w:r>
    </w:p>
    <w:p w14:paraId="3B9C690F" w14:textId="77777777" w:rsidR="00DC6534" w:rsidRPr="00DC6534" w:rsidRDefault="00DC6534" w:rsidP="00DC6534">
      <w:pPr>
        <w:rPr>
          <w:color w:val="FF0000"/>
        </w:rPr>
      </w:pPr>
    </w:p>
    <w:p w14:paraId="7A7748ED" w14:textId="1D2C2083" w:rsidR="004F1D82" w:rsidRPr="00574C27" w:rsidRDefault="00DC6534" w:rsidP="004F1D82">
      <w:pPr>
        <w:spacing w:after="35" w:line="298" w:lineRule="auto"/>
        <w:ind w:left="-5" w:hanging="10"/>
        <w:rPr>
          <w:rFonts w:eastAsia="Arial" w:cs="Arial"/>
          <w:color w:val="00B0F0"/>
          <w:szCs w:val="20"/>
          <w:lang w:eastAsia="nl-NL"/>
        </w:rPr>
      </w:pPr>
      <w:r w:rsidRPr="004F1D82">
        <w:rPr>
          <w:rFonts w:eastAsia="Arial" w:cs="Arial"/>
          <w:szCs w:val="20"/>
          <w:lang w:eastAsia="nl-NL"/>
        </w:rPr>
        <w:t xml:space="preserve">In cursusjaar </w:t>
      </w:r>
      <w:r w:rsidR="004F1D82" w:rsidRPr="004F1D82">
        <w:rPr>
          <w:rFonts w:eastAsia="Arial" w:cs="Arial"/>
          <w:szCs w:val="20"/>
          <w:lang w:eastAsia="nl-NL"/>
        </w:rPr>
        <w:t>20</w:t>
      </w:r>
      <w:r w:rsidR="00574C27">
        <w:rPr>
          <w:rFonts w:eastAsia="Arial" w:cs="Arial"/>
          <w:szCs w:val="20"/>
          <w:lang w:eastAsia="nl-NL"/>
        </w:rPr>
        <w:t>20</w:t>
      </w:r>
      <w:r w:rsidR="004F1D82" w:rsidRPr="004F1D82">
        <w:rPr>
          <w:rFonts w:eastAsia="Arial" w:cs="Arial"/>
          <w:szCs w:val="20"/>
          <w:lang w:eastAsia="nl-NL"/>
        </w:rPr>
        <w:t>-</w:t>
      </w:r>
      <w:r w:rsidR="00574C27">
        <w:rPr>
          <w:rFonts w:eastAsia="Arial" w:cs="Arial"/>
          <w:szCs w:val="20"/>
          <w:lang w:eastAsia="nl-NL"/>
        </w:rPr>
        <w:t>20</w:t>
      </w:r>
      <w:r w:rsidR="004F1D82" w:rsidRPr="004F1D82">
        <w:rPr>
          <w:rFonts w:eastAsia="Arial" w:cs="Arial"/>
          <w:szCs w:val="20"/>
          <w:lang w:eastAsia="nl-NL"/>
        </w:rPr>
        <w:t>21</w:t>
      </w:r>
      <w:r w:rsidRPr="004F1D82">
        <w:rPr>
          <w:rFonts w:eastAsia="Arial" w:cs="Arial"/>
          <w:szCs w:val="20"/>
          <w:lang w:eastAsia="nl-NL"/>
        </w:rPr>
        <w:t xml:space="preserve"> zijn collega’s in tijdelijke dienst aangesteld. Hun aanstellingen worden in principe beëindigd. De reden tot beëindiging kan te maken hebben met formatieve frictie, onvoldoende functioneren of herplaatsing van andere medewerkers binnen de stichting. In de periode dat dit formatieplan wordt geschreven, hebben alle tijdelijke mensen duidelijkheid over hun aanstelling van volgend jaar of weten wanneer die duidelijkheid er is</w:t>
      </w:r>
      <w:r w:rsidR="008928D3">
        <w:rPr>
          <w:rFonts w:eastAsia="Arial" w:cs="Arial"/>
          <w:szCs w:val="20"/>
          <w:lang w:eastAsia="nl-NL"/>
        </w:rPr>
        <w:t xml:space="preserve">, </w:t>
      </w:r>
      <w:r w:rsidR="008928D3" w:rsidRPr="00970CBC">
        <w:rPr>
          <w:rFonts w:eastAsia="Arial" w:cs="Arial"/>
          <w:szCs w:val="20"/>
          <w:lang w:eastAsia="nl-NL"/>
        </w:rPr>
        <w:t>hier gaat een beoordeling aan vooraf</w:t>
      </w:r>
      <w:r w:rsidR="00574C27" w:rsidRPr="00970CBC">
        <w:rPr>
          <w:rFonts w:eastAsia="Arial" w:cs="Arial"/>
          <w:szCs w:val="20"/>
          <w:lang w:eastAsia="nl-NL"/>
        </w:rPr>
        <w:t>, voor de tijdelijk benoemden waarvoor er mogelijk een nieuwe (tijdelijke of vaste) benoeming in zit, afhankelijk van beschikbare formatie.</w:t>
      </w:r>
    </w:p>
    <w:p w14:paraId="4D359C31" w14:textId="77777777" w:rsidR="004F1D82" w:rsidRDefault="004F1D82" w:rsidP="004F1D82">
      <w:pPr>
        <w:spacing w:after="35" w:line="298" w:lineRule="auto"/>
        <w:ind w:left="-5" w:hanging="10"/>
        <w:rPr>
          <w:rFonts w:eastAsia="Arial" w:cs="Arial"/>
          <w:szCs w:val="20"/>
          <w:lang w:eastAsia="nl-NL"/>
        </w:rPr>
      </w:pPr>
    </w:p>
    <w:p w14:paraId="1CB5D374" w14:textId="0F2C9C03" w:rsidR="00DC6534" w:rsidRPr="008C68F9" w:rsidRDefault="00DC6534" w:rsidP="004F1D82">
      <w:pPr>
        <w:spacing w:after="35" w:line="298" w:lineRule="auto"/>
        <w:ind w:left="-5" w:hanging="10"/>
      </w:pPr>
      <w:r w:rsidRPr="004F1D82">
        <w:t>Ook vinden er gesprekken plaats met collega’s die op een andere locatie binnen de stichting aan het werk zullen moeten. Dit doen we in overleg volgens het met de GMR overeengekomen ‘interne overplaatsingsbeleid’: veelal in goed overleg met de secties of vakgroepen Als we daar niet uitkomen, zoeken we naar mogelijkheid voor herplaatsing buiten de stichting. Voorop staat het behoudt van onderwijstalent en werkgelegenheid binnen Landstede Groep.</w:t>
      </w:r>
      <w:r w:rsidR="008928D3">
        <w:t xml:space="preserve"> </w:t>
      </w:r>
      <w:r w:rsidR="008928D3" w:rsidRPr="008C68F9">
        <w:t>Als medewerkers binnen de stichting gebruik willen maken van mobiliteit, geldt een inspanningsverplichting van de schoolleider</w:t>
      </w:r>
      <w:r w:rsidR="00970CBC" w:rsidRPr="008C68F9">
        <w:t xml:space="preserve"> op Landstede </w:t>
      </w:r>
      <w:r w:rsidR="008C68F9">
        <w:t xml:space="preserve">groep </w:t>
      </w:r>
      <w:r w:rsidR="00970CBC" w:rsidRPr="008C68F9">
        <w:t>niveau</w:t>
      </w:r>
      <w:r w:rsidR="008C68F9">
        <w:t>.</w:t>
      </w:r>
      <w:r w:rsidR="00970CBC" w:rsidRPr="008C68F9">
        <w:t xml:space="preserve"> Er is geen mobiliteitsrecht, maar er worden </w:t>
      </w:r>
      <w:r w:rsidR="001F7445" w:rsidRPr="008C68F9">
        <w:t>maatwerk</w:t>
      </w:r>
      <w:r w:rsidR="00970CBC" w:rsidRPr="008C68F9">
        <w:t>afspraken gemaakt met de medewerker</w:t>
      </w:r>
      <w:r w:rsidR="001F7445" w:rsidRPr="008C68F9">
        <w:t xml:space="preserve"> geleverd.</w:t>
      </w:r>
      <w:r w:rsidR="003D0004" w:rsidRPr="008C68F9">
        <w:t>    </w:t>
      </w:r>
    </w:p>
    <w:p w14:paraId="067DBFD8" w14:textId="77777777" w:rsidR="003D0004" w:rsidRPr="004F1D82" w:rsidRDefault="003D0004" w:rsidP="00DC6534">
      <w:pPr>
        <w:pStyle w:val="Kop2"/>
        <w:rPr>
          <w:rFonts w:eastAsia="Arial" w:cs="Arial"/>
          <w:b w:val="0"/>
          <w:color w:val="auto"/>
          <w:sz w:val="20"/>
          <w:szCs w:val="20"/>
          <w:lang w:eastAsia="nl-NL"/>
        </w:rPr>
      </w:pPr>
      <w:r w:rsidRPr="004F1D82">
        <w:rPr>
          <w:rFonts w:eastAsia="Arial" w:cs="Arial"/>
          <w:b w:val="0"/>
          <w:color w:val="auto"/>
          <w:sz w:val="20"/>
          <w:szCs w:val="20"/>
          <w:lang w:eastAsia="nl-NL"/>
        </w:rPr>
        <w:t xml:space="preserve">    </w:t>
      </w:r>
    </w:p>
    <w:p w14:paraId="21356583" w14:textId="1562D369" w:rsidR="00DC6534" w:rsidRDefault="00C102D2" w:rsidP="00C102D2">
      <w:pPr>
        <w:pStyle w:val="Kop2"/>
        <w:numPr>
          <w:ilvl w:val="1"/>
          <w:numId w:val="33"/>
        </w:numPr>
      </w:pPr>
      <w:r>
        <w:t xml:space="preserve"> </w:t>
      </w:r>
      <w:bookmarkStart w:id="17" w:name="_Toc69994999"/>
      <w:r w:rsidR="003D0004">
        <w:t>Inzet LIO-docenten</w:t>
      </w:r>
      <w:bookmarkEnd w:id="17"/>
      <w:r w:rsidR="003D0004">
        <w:t> </w:t>
      </w:r>
    </w:p>
    <w:p w14:paraId="1884143B" w14:textId="77777777" w:rsidR="00DC6534" w:rsidRPr="004F1D82" w:rsidRDefault="00DC6534" w:rsidP="00DC6534">
      <w:pPr>
        <w:spacing w:line="298" w:lineRule="auto"/>
        <w:ind w:left="-5"/>
        <w:rPr>
          <w:szCs w:val="20"/>
        </w:rPr>
      </w:pPr>
      <w:r w:rsidRPr="004F1D82">
        <w:rPr>
          <w:szCs w:val="20"/>
        </w:rPr>
        <w:t>Binnen de stichting zijn veel stagiaires, LIO-ers en DIO-ers aan het werk om werkervaring op te doen en om de toestroom van (jong) personeel te garanderen. Een deel van deze mensen is de afgelopen jaren in dienst genomen. De tijdelijke flexibele schil die daardoor ontstaat helpt ons ook in tijden van krimp. De omvang van deze flexibele schil wordt wel kleiner naarmate de krimp doorzet.</w:t>
      </w:r>
    </w:p>
    <w:p w14:paraId="1E08D368" w14:textId="77777777" w:rsidR="00DC6534" w:rsidRPr="00122C48" w:rsidRDefault="00DC6534" w:rsidP="00DC6534">
      <w:pPr>
        <w:spacing w:after="35" w:line="298" w:lineRule="auto"/>
        <w:ind w:left="-5"/>
        <w:rPr>
          <w:color w:val="FF0000"/>
          <w:szCs w:val="20"/>
        </w:rPr>
      </w:pPr>
    </w:p>
    <w:p w14:paraId="53A30A8E" w14:textId="77777777" w:rsidR="00DC6534" w:rsidRPr="004F1D82" w:rsidRDefault="00DC6534" w:rsidP="005B4CB6">
      <w:pPr>
        <w:spacing w:line="298" w:lineRule="auto"/>
        <w:ind w:left="-6"/>
        <w:rPr>
          <w:szCs w:val="20"/>
        </w:rPr>
      </w:pPr>
      <w:r w:rsidRPr="004F1D82">
        <w:rPr>
          <w:szCs w:val="20"/>
        </w:rPr>
        <w:t xml:space="preserve">Het Ichthus College is een zogenoemde opleidingsschool en we ontvangen hiervoor subsidie van de overheid. Dit betekent dat we binnen het samenwerkingsverband van opleidingsscholen een aantal stageplaatsen zijn overeengekomen. Dit aantal is niet vrijblijvend, want de toegekende subsidies is hiermee verbonden. De stagecoördinator verdeelt daarom de stagiaires over de verschillende docenten. Deze taakhouder doet dit in overleg, maar dit overleg is niet vrijblijvend. </w:t>
      </w:r>
    </w:p>
    <w:p w14:paraId="30D8D842" w14:textId="77777777" w:rsidR="005B4CB6" w:rsidRDefault="005B4CB6" w:rsidP="004F1D82"/>
    <w:p w14:paraId="09ED1A52" w14:textId="77777777" w:rsidR="00DC6534" w:rsidRPr="004F1D82" w:rsidRDefault="00DC6534" w:rsidP="004F1D82">
      <w:r w:rsidRPr="004F1D82">
        <w:t>Over de inzet van LIO-docenten in de school hebben we het volgende afgesproken:</w:t>
      </w:r>
    </w:p>
    <w:p w14:paraId="6817740F" w14:textId="77777777" w:rsidR="004F1D82" w:rsidRPr="009F15BF" w:rsidRDefault="004F1D82" w:rsidP="005A4B0C">
      <w:pPr>
        <w:pStyle w:val="Lijstalinea"/>
        <w:numPr>
          <w:ilvl w:val="0"/>
          <w:numId w:val="17"/>
        </w:numPr>
        <w:ind w:left="284" w:hanging="284"/>
      </w:pPr>
      <w:r w:rsidRPr="004F1D82">
        <w:t xml:space="preserve">LIO’ers die vacature-uren vullen krijgen betaald, de anderen niet. </w:t>
      </w:r>
      <w:r w:rsidR="008928D3" w:rsidRPr="009F15BF">
        <w:t>We onderscheiden daarom betaalde en niet-betaalde LIO</w:t>
      </w:r>
      <w:r w:rsidR="00F434D8" w:rsidRPr="009F15BF">
        <w:t>’ers.</w:t>
      </w:r>
    </w:p>
    <w:p w14:paraId="66CC4D19" w14:textId="77777777" w:rsidR="004F1D82" w:rsidRPr="004F1D82" w:rsidRDefault="004F1D82" w:rsidP="005A4B0C">
      <w:pPr>
        <w:pStyle w:val="Lijstalinea"/>
        <w:numPr>
          <w:ilvl w:val="0"/>
          <w:numId w:val="17"/>
        </w:numPr>
        <w:ind w:left="284" w:hanging="284"/>
      </w:pPr>
      <w:r w:rsidRPr="004F1D82">
        <w:t>De betaling is 0,05 fte/les en wordt vergoed met de LIO schaal: 50% van LD1</w:t>
      </w:r>
    </w:p>
    <w:p w14:paraId="46B69644" w14:textId="77777777" w:rsidR="004F1D82" w:rsidRPr="004F1D82" w:rsidRDefault="004F1D82" w:rsidP="005A4B0C">
      <w:pPr>
        <w:pStyle w:val="Lijstalinea"/>
        <w:numPr>
          <w:ilvl w:val="0"/>
          <w:numId w:val="17"/>
        </w:numPr>
        <w:ind w:left="284" w:hanging="284"/>
      </w:pPr>
      <w:r w:rsidRPr="004F1D82">
        <w:t>Ook bij meer dan 6 lessen wordt er 0,05 fte per les per week vergoed.</w:t>
      </w:r>
    </w:p>
    <w:p w14:paraId="65AF94E7" w14:textId="77777777" w:rsidR="004F1D82" w:rsidRPr="004F1D82" w:rsidRDefault="004F1D82" w:rsidP="005A4B0C">
      <w:pPr>
        <w:pStyle w:val="Lijstalinea"/>
        <w:numPr>
          <w:ilvl w:val="0"/>
          <w:numId w:val="17"/>
        </w:numPr>
        <w:ind w:left="284" w:hanging="284"/>
      </w:pPr>
      <w:r w:rsidRPr="004F1D82">
        <w:t>De LIO heeft recht op een kerstpakket en een CYOD laptop of iPad, voor de periode van de stage.</w:t>
      </w:r>
    </w:p>
    <w:p w14:paraId="1BF058D5" w14:textId="77777777" w:rsidR="004F1D82" w:rsidRPr="004F1D82" w:rsidRDefault="004F1D82" w:rsidP="005A4B0C">
      <w:pPr>
        <w:pStyle w:val="Lijstalinea"/>
        <w:numPr>
          <w:ilvl w:val="0"/>
          <w:numId w:val="17"/>
        </w:numPr>
        <w:ind w:left="284" w:hanging="284"/>
      </w:pPr>
      <w:r w:rsidRPr="004F1D82">
        <w:t>Indien nodig kan er een reiskostenvergoeding gegeven worden, als de school door deze student slecht per OV te bereiken is.</w:t>
      </w:r>
    </w:p>
    <w:p w14:paraId="6E8CA0F8" w14:textId="77777777" w:rsidR="00EF2749" w:rsidRPr="00EF2749" w:rsidRDefault="004F1D82" w:rsidP="005A4B0C">
      <w:pPr>
        <w:pStyle w:val="Lijstalinea"/>
        <w:numPr>
          <w:ilvl w:val="0"/>
          <w:numId w:val="17"/>
        </w:numPr>
        <w:spacing w:after="35" w:line="298" w:lineRule="auto"/>
        <w:ind w:left="284" w:hanging="284"/>
        <w:rPr>
          <w:szCs w:val="20"/>
        </w:rPr>
      </w:pPr>
      <w:r w:rsidRPr="004F1D82">
        <w:lastRenderedPageBreak/>
        <w:t xml:space="preserve">Elke LIO-er heeft voor aanvang van zijn stage een ‘sollicitatiegesprek’ met een teamleider van één van de afdelingen waaraan hij/zij gaat lesgeven. </w:t>
      </w:r>
    </w:p>
    <w:p w14:paraId="24082FC6" w14:textId="77777777" w:rsidR="00EF2749" w:rsidRPr="00EF2749" w:rsidRDefault="00EF2749" w:rsidP="005A4B0C">
      <w:pPr>
        <w:pStyle w:val="Lijstalinea"/>
        <w:numPr>
          <w:ilvl w:val="0"/>
          <w:numId w:val="17"/>
        </w:numPr>
        <w:spacing w:after="35" w:line="298" w:lineRule="auto"/>
        <w:ind w:left="284" w:hanging="284"/>
        <w:rPr>
          <w:szCs w:val="20"/>
        </w:rPr>
      </w:pPr>
      <w:r w:rsidRPr="00EF2749">
        <w:rPr>
          <w:szCs w:val="20"/>
        </w:rPr>
        <w:t>In Foleta wordt een LIO gekoppeld aan de lessen die hij/zij geeft. Een betaalde en niet-betaalde LIO moeten daarna anders behandeld worden in Foleta:</w:t>
      </w:r>
    </w:p>
    <w:p w14:paraId="691D8523" w14:textId="3792E2AA" w:rsidR="00EF2749" w:rsidRPr="00EF2749" w:rsidRDefault="00EF2749" w:rsidP="005A4B0C">
      <w:pPr>
        <w:pStyle w:val="Lijstalinea"/>
        <w:numPr>
          <w:ilvl w:val="1"/>
          <w:numId w:val="18"/>
        </w:numPr>
        <w:spacing w:after="35" w:line="298" w:lineRule="auto"/>
        <w:ind w:left="567" w:hanging="218"/>
        <w:rPr>
          <w:szCs w:val="20"/>
        </w:rPr>
      </w:pPr>
      <w:r w:rsidRPr="00EF2749">
        <w:rPr>
          <w:szCs w:val="20"/>
          <w:u w:val="single"/>
        </w:rPr>
        <w:t>Betaalde LIO:</w:t>
      </w:r>
      <w:r w:rsidRPr="00EF2749">
        <w:rPr>
          <w:szCs w:val="20"/>
        </w:rPr>
        <w:t xml:space="preserve"> Geef de L</w:t>
      </w:r>
      <w:r w:rsidR="009F15BF">
        <w:rPr>
          <w:szCs w:val="20"/>
        </w:rPr>
        <w:t>IO</w:t>
      </w:r>
      <w:r w:rsidRPr="00EF2749">
        <w:rPr>
          <w:szCs w:val="20"/>
        </w:rPr>
        <w:t xml:space="preserve"> de juiste aanstellings-omvang en ken vervolgens bijzonder verlof toe voor 50% van die aanstellings-omvang. Zo wordt het formatiebudget juist beïnvloed door de inzet van een betaalde LIO.</w:t>
      </w:r>
    </w:p>
    <w:p w14:paraId="2C897120" w14:textId="77777777" w:rsidR="00EF2749" w:rsidRPr="00EF2749" w:rsidRDefault="00EF2749" w:rsidP="005A4B0C">
      <w:pPr>
        <w:pStyle w:val="Lijstalinea"/>
        <w:numPr>
          <w:ilvl w:val="1"/>
          <w:numId w:val="18"/>
        </w:numPr>
        <w:spacing w:after="35" w:line="298" w:lineRule="auto"/>
        <w:ind w:left="567" w:hanging="218"/>
        <w:rPr>
          <w:szCs w:val="20"/>
        </w:rPr>
      </w:pPr>
      <w:r w:rsidRPr="00EF2749">
        <w:rPr>
          <w:szCs w:val="20"/>
          <w:u w:val="single"/>
        </w:rPr>
        <w:t>Niet-betaalde LIO:</w:t>
      </w:r>
      <w:r w:rsidRPr="00EF2749">
        <w:rPr>
          <w:szCs w:val="20"/>
        </w:rPr>
        <w:t xml:space="preserve"> Zorg dat de fte’s die de LIO heeft gekregen in mindering worden gebracht op zijn aanstelling door hem/haar bijzonder verlof toe te kennen ten grootte van de aanstelling die zij hebben. Zo komt deze LIO niet ten laste van je formatiebudget.</w:t>
      </w:r>
    </w:p>
    <w:p w14:paraId="2FC59132" w14:textId="77777777" w:rsidR="00EF2749" w:rsidRPr="00EF2749" w:rsidRDefault="00EF2749" w:rsidP="005A4B0C">
      <w:pPr>
        <w:pStyle w:val="Lijstalinea"/>
        <w:numPr>
          <w:ilvl w:val="0"/>
          <w:numId w:val="17"/>
        </w:numPr>
        <w:spacing w:after="35" w:line="298" w:lineRule="auto"/>
        <w:ind w:left="284" w:hanging="284"/>
        <w:rPr>
          <w:szCs w:val="20"/>
        </w:rPr>
      </w:pPr>
      <w:r w:rsidRPr="004F1D82">
        <w:t>De docent krijgt 60 uur voor de begeleiding van een LIO, ongeacht of deze betaald wordt of niet.</w:t>
      </w:r>
      <w:r w:rsidRPr="00EF2749">
        <w:rPr>
          <w:szCs w:val="20"/>
        </w:rPr>
        <w:t xml:space="preserve"> De lessen die de LIO-er geeft komen in Foleta bij de LIO-er en niet bij de begeleidend docent. De begeleider moet bij wegvallende lessen dus andere taken of lessen binnen zijn jaartaak uitvoeren.</w:t>
      </w:r>
    </w:p>
    <w:p w14:paraId="49600A53" w14:textId="77777777" w:rsidR="00DC6534" w:rsidRDefault="00DC6534" w:rsidP="00DC6534">
      <w:pPr>
        <w:pStyle w:val="Lijstalinea"/>
      </w:pPr>
    </w:p>
    <w:p w14:paraId="0478DFDB" w14:textId="77777777" w:rsidR="003D0004" w:rsidRPr="009E0FD0" w:rsidRDefault="003D0004" w:rsidP="00DC6534">
      <w:pPr>
        <w:pStyle w:val="Kop2"/>
      </w:pPr>
      <w:r>
        <w:t xml:space="preserve">        </w:t>
      </w:r>
    </w:p>
    <w:p w14:paraId="2C3095E6" w14:textId="3DFCD752" w:rsidR="00DC6534" w:rsidRPr="00C102D2" w:rsidRDefault="00C102D2" w:rsidP="00C102D2">
      <w:pPr>
        <w:pStyle w:val="Kop2"/>
        <w:numPr>
          <w:ilvl w:val="1"/>
          <w:numId w:val="33"/>
        </w:numPr>
      </w:pPr>
      <w:r>
        <w:t xml:space="preserve"> </w:t>
      </w:r>
      <w:bookmarkStart w:id="18" w:name="_Toc69995000"/>
      <w:r w:rsidR="003D0004" w:rsidRPr="009E0263">
        <w:t>Overige onderwerpen</w:t>
      </w:r>
      <w:bookmarkEnd w:id="18"/>
      <w:r w:rsidR="003D0004" w:rsidRPr="009E0263">
        <w:t> </w:t>
      </w:r>
    </w:p>
    <w:p w14:paraId="5EF35B04" w14:textId="77777777" w:rsidR="009E0FD0" w:rsidRPr="009E0263" w:rsidRDefault="003D0004" w:rsidP="00DC6534">
      <w:pPr>
        <w:rPr>
          <w:rFonts w:eastAsiaTheme="majorEastAsia" w:cstheme="majorBidi"/>
          <w:bCs/>
          <w:sz w:val="24"/>
          <w:szCs w:val="26"/>
        </w:rPr>
      </w:pPr>
      <w:r w:rsidRPr="009E0263">
        <w:rPr>
          <w:rFonts w:eastAsiaTheme="majorEastAsia" w:cstheme="majorBidi"/>
          <w:bCs/>
          <w:sz w:val="24"/>
          <w:szCs w:val="26"/>
        </w:rPr>
        <w:t>   </w:t>
      </w:r>
    </w:p>
    <w:p w14:paraId="27D8FAAE" w14:textId="77777777" w:rsidR="00FE7940" w:rsidRDefault="00FE7940" w:rsidP="00FE7940">
      <w:pPr>
        <w:rPr>
          <w:rFonts w:ascii="Calibri" w:hAnsi="Calibri"/>
        </w:rPr>
      </w:pPr>
      <w:r>
        <w:t xml:space="preserve">Op onze scholen vinden in het kader van de verbeterplannen diverse activiteiten en interventies plaats op het gebied van kwaliteitszorg en kwaliteitscultuur. Wij werken aan de hand van thema’s als didactiek, burgerschap, toetsing en communicatie planmatig aan de verbetering van de kwaliteit. </w:t>
      </w:r>
    </w:p>
    <w:p w14:paraId="4A15BDA0" w14:textId="77777777" w:rsidR="00FE7940" w:rsidRDefault="00FE7940" w:rsidP="00FE7940">
      <w:pPr>
        <w:rPr>
          <w:szCs w:val="20"/>
        </w:rPr>
      </w:pPr>
      <w:r>
        <w:t>Om de doelen die wij ons gesteld hebben op het gebied van onderwijskwaliteit te kunnen realiseren, is een goed functionerend integraal personeelsbeleid nodig. Docenten doorlopen daarin de gesprekscyclus, stellen een POP op volgens de PDCA cyclus t.b.v. terugkerende functionerings- en professionaliseringsgesprekken. Deze ontwikkeling heeft tevens een directe relatie met o.a. de functiemix en eventuele (externe) mobiliteit.</w:t>
      </w:r>
      <w:r>
        <w:br/>
        <w:t>Per vestiging ligt er een verbeterplan en plan van aanpak aan ten grondslag.</w:t>
      </w:r>
    </w:p>
    <w:p w14:paraId="2476BCDF" w14:textId="31DE3BCD" w:rsidR="003553D2" w:rsidRDefault="003553D2">
      <w:pPr>
        <w:spacing w:after="160" w:line="259" w:lineRule="auto"/>
        <w:rPr>
          <w:rFonts w:cs="Arial"/>
          <w:color w:val="00B0F0"/>
          <w:szCs w:val="20"/>
          <w:lang w:val="nl"/>
        </w:rPr>
      </w:pPr>
      <w:r>
        <w:rPr>
          <w:rFonts w:cs="Arial"/>
          <w:color w:val="00B0F0"/>
          <w:szCs w:val="20"/>
          <w:lang w:val="nl"/>
        </w:rPr>
        <w:br w:type="page"/>
      </w:r>
    </w:p>
    <w:p w14:paraId="7B34DB06" w14:textId="4FF60F6D" w:rsidR="003D0004" w:rsidRDefault="003D0004" w:rsidP="00C102D2">
      <w:pPr>
        <w:pStyle w:val="Kop1"/>
        <w:keepLines w:val="0"/>
        <w:numPr>
          <w:ilvl w:val="0"/>
          <w:numId w:val="33"/>
        </w:numPr>
        <w:spacing w:before="120" w:after="240"/>
        <w:rPr>
          <w:rFonts w:cs="Arial"/>
          <w:color w:val="2F5496"/>
        </w:rPr>
      </w:pPr>
      <w:bookmarkStart w:id="19" w:name="_Toc69995001"/>
      <w:r>
        <w:rPr>
          <w:rFonts w:cs="Arial"/>
          <w:color w:val="2F5496"/>
        </w:rPr>
        <w:lastRenderedPageBreak/>
        <w:t>I</w:t>
      </w:r>
      <w:r w:rsidR="003E04AF">
        <w:rPr>
          <w:rFonts w:cs="Arial"/>
          <w:color w:val="2F5496"/>
        </w:rPr>
        <w:t>n</w:t>
      </w:r>
      <w:r>
        <w:rPr>
          <w:rFonts w:cs="Arial"/>
          <w:color w:val="2F5496"/>
        </w:rPr>
        <w:t>tern formatie proces</w:t>
      </w:r>
      <w:bookmarkEnd w:id="19"/>
    </w:p>
    <w:p w14:paraId="35C37DB3" w14:textId="4FB46520" w:rsidR="00DC6534" w:rsidRPr="00D14C07" w:rsidRDefault="00AA779B" w:rsidP="00AA779B">
      <w:pPr>
        <w:pStyle w:val="Kop2"/>
        <w:rPr>
          <w:rFonts w:eastAsiaTheme="minorHAnsi"/>
        </w:rPr>
      </w:pPr>
      <w:bookmarkStart w:id="20" w:name="_Toc69995002"/>
      <w:r>
        <w:rPr>
          <w:rFonts w:eastAsiaTheme="minorHAnsi"/>
        </w:rPr>
        <w:t>5.1 O</w:t>
      </w:r>
      <w:r w:rsidR="003D0004" w:rsidRPr="00E65D93">
        <w:rPr>
          <w:rFonts w:eastAsiaTheme="minorHAnsi"/>
        </w:rPr>
        <w:t>nderwijskundige kaders voor de formatie</w:t>
      </w:r>
      <w:r w:rsidR="003E04AF">
        <w:rPr>
          <w:rFonts w:eastAsiaTheme="minorHAnsi"/>
        </w:rPr>
        <w:t xml:space="preserve"> </w:t>
      </w:r>
      <w:r w:rsidR="003E04AF" w:rsidRPr="00D14C07">
        <w:rPr>
          <w:rFonts w:eastAsiaTheme="minorHAnsi"/>
        </w:rPr>
        <w:t>Kampen</w:t>
      </w:r>
      <w:r>
        <w:rPr>
          <w:rFonts w:eastAsiaTheme="minorHAnsi"/>
        </w:rPr>
        <w:t xml:space="preserve"> en Dronten</w:t>
      </w:r>
      <w:bookmarkEnd w:id="20"/>
    </w:p>
    <w:p w14:paraId="27BA1412" w14:textId="77777777" w:rsidR="003245F2" w:rsidRDefault="003245F2" w:rsidP="003245F2"/>
    <w:p w14:paraId="1CB79412" w14:textId="77777777" w:rsidR="00DC6534" w:rsidRPr="00DC6534" w:rsidRDefault="00DC6534" w:rsidP="00DC6534">
      <w:r w:rsidRPr="00DC6534">
        <w:t xml:space="preserve">Om het aantal lessen te berekenen wordt in de formatie gewerkt met een aantal onderwijskundige kaders. Het zijn kaders die al bij de start van de formatie worden gehanteerd om te bepalen hoeveel klassen en lesgroepen worden gevormd. </w:t>
      </w:r>
    </w:p>
    <w:p w14:paraId="49B84A15" w14:textId="77777777" w:rsidR="00DC6534" w:rsidRPr="00DC6534" w:rsidRDefault="00DC6534" w:rsidP="00DC6534"/>
    <w:p w14:paraId="5E3AE1B2" w14:textId="4BD499AD" w:rsidR="003E04AF" w:rsidRPr="0095467C" w:rsidRDefault="003E04AF" w:rsidP="00AA779B">
      <w:pPr>
        <w:ind w:left="1"/>
      </w:pPr>
      <w:r w:rsidRPr="0095467C">
        <w:t>Op medewerkers die in het kader van de corona subsidie worden benoemd is artikel 9.2 lid 4.d van toepassing: een tijdelijk dienstverband op grond van werkzaamheden (in het kader van projecten) waarvoor additionele gelden beschikbaar zijn gesteld. Dit artikel (deze grondslag) zorgt voor grotere flexibiliteit in het aantal dienstverbanden en de totale duur daarvan.</w:t>
      </w:r>
    </w:p>
    <w:p w14:paraId="5D81F903" w14:textId="199A1683" w:rsidR="003E04AF" w:rsidRPr="0095467C" w:rsidRDefault="003E04AF" w:rsidP="003E04AF"/>
    <w:p w14:paraId="2C5056DC" w14:textId="77777777" w:rsidR="00674AFD" w:rsidRPr="0095467C" w:rsidRDefault="00674AFD" w:rsidP="00AA779B">
      <w:pPr>
        <w:spacing w:after="6"/>
      </w:pPr>
      <w:r w:rsidRPr="0095467C">
        <w:t xml:space="preserve">Voor het opstellen van het rooster zijn verschillende beleidsdocumenten sturend, namelijk de cao-vo, de begroting, het formatieplan en het taakverdelingsbeleid.  </w:t>
      </w:r>
    </w:p>
    <w:p w14:paraId="545FC369" w14:textId="77777777" w:rsidR="00AA779B" w:rsidRPr="0095467C" w:rsidRDefault="00AA779B" w:rsidP="00AA779B">
      <w:pPr>
        <w:spacing w:after="36"/>
      </w:pPr>
    </w:p>
    <w:p w14:paraId="21210007" w14:textId="71A7FB47" w:rsidR="00674AFD" w:rsidRPr="0095467C" w:rsidRDefault="00674AFD" w:rsidP="00AA779B">
      <w:pPr>
        <w:spacing w:after="36"/>
      </w:pPr>
      <w:r w:rsidRPr="0095467C">
        <w:t xml:space="preserve">Een aantal belangrijke algemene </w:t>
      </w:r>
      <w:r w:rsidRPr="0095467C">
        <w:rPr>
          <w:i/>
        </w:rPr>
        <w:t xml:space="preserve">formatieve kaders </w:t>
      </w:r>
      <w:r w:rsidRPr="0095467C">
        <w:t xml:space="preserve">voor de stichting IC is hieronder opgenomen: </w:t>
      </w:r>
    </w:p>
    <w:p w14:paraId="0A0AD8AC" w14:textId="77777777" w:rsidR="00674AFD" w:rsidRPr="0095467C" w:rsidRDefault="00674AFD" w:rsidP="00027C73">
      <w:pPr>
        <w:pStyle w:val="Lijstalinea"/>
        <w:numPr>
          <w:ilvl w:val="0"/>
          <w:numId w:val="25"/>
        </w:numPr>
        <w:spacing w:after="8" w:line="270" w:lineRule="auto"/>
        <w:ind w:left="426"/>
      </w:pPr>
      <w:r w:rsidRPr="0095467C">
        <w:t xml:space="preserve">De maximale lestaak bij 1,0 fte is voor Kampen 20 lesuren van elk één klokuur. </w:t>
      </w:r>
    </w:p>
    <w:p w14:paraId="5D2706F0" w14:textId="77777777" w:rsidR="00674AFD" w:rsidRPr="0095467C" w:rsidRDefault="00674AFD" w:rsidP="00027C73">
      <w:pPr>
        <w:pStyle w:val="Lijstalinea"/>
        <w:numPr>
          <w:ilvl w:val="0"/>
          <w:numId w:val="25"/>
        </w:numPr>
        <w:spacing w:after="10" w:line="270" w:lineRule="auto"/>
        <w:ind w:left="426"/>
      </w:pPr>
      <w:r w:rsidRPr="0095467C">
        <w:t xml:space="preserve">De maximale lestaak bij 1,0 fte is voor Dronten 24 lesuren van elk 50 minuten.  </w:t>
      </w:r>
    </w:p>
    <w:p w14:paraId="3D4217D4" w14:textId="77777777" w:rsidR="00674AFD" w:rsidRPr="0095467C" w:rsidRDefault="00674AFD" w:rsidP="00027C73">
      <w:pPr>
        <w:pStyle w:val="Lijstalinea"/>
        <w:numPr>
          <w:ilvl w:val="0"/>
          <w:numId w:val="25"/>
        </w:numPr>
        <w:spacing w:after="33" w:line="270" w:lineRule="auto"/>
        <w:ind w:left="426"/>
      </w:pPr>
      <w:r w:rsidRPr="0095467C">
        <w:t xml:space="preserve">Parttimers worden naar rato van hun betrekkingsomvang geplaatst op een aantal lessen.  Om binnen het formatiebudget te blijven kan in overleg 1 extra lesuur op hun jaartaak worden geplaatst; deze les gaat wel ten koste van de taakruimte. </w:t>
      </w:r>
    </w:p>
    <w:p w14:paraId="2B98F669" w14:textId="77777777" w:rsidR="00674AFD" w:rsidRPr="0095467C" w:rsidRDefault="00674AFD" w:rsidP="00027C73">
      <w:pPr>
        <w:pStyle w:val="Lijstalinea"/>
        <w:numPr>
          <w:ilvl w:val="0"/>
          <w:numId w:val="25"/>
        </w:numPr>
        <w:spacing w:after="33" w:line="270" w:lineRule="auto"/>
        <w:ind w:left="426"/>
      </w:pPr>
      <w:r w:rsidRPr="0095467C">
        <w:t xml:space="preserve">Het aantal onderwijsdagen is wettelijk vastgesteld op gemiddeld 189, waarvan 180 lesdagen en 9 activiteiten dagen waarop onderwijs wordt verzorg buiten het reguliere lesrooster. </w:t>
      </w:r>
    </w:p>
    <w:p w14:paraId="2631DE2E" w14:textId="77777777" w:rsidR="00674AFD" w:rsidRPr="0095467C" w:rsidRDefault="00674AFD" w:rsidP="00027C73">
      <w:pPr>
        <w:pStyle w:val="Lijstalinea"/>
        <w:numPr>
          <w:ilvl w:val="0"/>
          <w:numId w:val="25"/>
        </w:numPr>
        <w:spacing w:after="31" w:line="270" w:lineRule="auto"/>
        <w:ind w:left="426"/>
      </w:pPr>
      <w:r w:rsidRPr="0095467C">
        <w:t>Bij het samenstellen van het rooster worden docenten eerst ingezet op het maximaal aantal lessen dat past bij hun betrekkingsomvang</w:t>
      </w:r>
      <w:r w:rsidRPr="0095467C">
        <w:rPr>
          <w:vertAlign w:val="superscript"/>
        </w:rPr>
        <w:footnoteReference w:id="1"/>
      </w:r>
      <w:r w:rsidRPr="0095467C">
        <w:t xml:space="preserve"> (m.u.v. de CLB’ers</w:t>
      </w:r>
      <w:r w:rsidRPr="0095467C">
        <w:rPr>
          <w:vertAlign w:val="superscript"/>
        </w:rPr>
        <w:footnoteReference w:id="2"/>
      </w:r>
      <w:r w:rsidRPr="0095467C">
        <w:t xml:space="preserve">). Een grote taak die de lestaak verdringt, wordt vooraleerst gespreid over meerdere docenten. Als er ruimte is binnen de formatie kan de lestaak worden verminderd ten gunste van een grotere taak.  </w:t>
      </w:r>
    </w:p>
    <w:p w14:paraId="622561DA" w14:textId="77777777" w:rsidR="00674AFD" w:rsidRPr="0095467C" w:rsidRDefault="00674AFD" w:rsidP="00027C73">
      <w:pPr>
        <w:pStyle w:val="Lijstalinea"/>
        <w:numPr>
          <w:ilvl w:val="0"/>
          <w:numId w:val="25"/>
        </w:numPr>
        <w:spacing w:after="33" w:line="270" w:lineRule="auto"/>
        <w:ind w:left="426"/>
      </w:pPr>
      <w:r w:rsidRPr="0095467C">
        <w:t xml:space="preserve">Taken die niet van doen hebben met het onderwijs en/of begeleiding worden zo veel mogelijk ondergebracht bij onderwijsondersteunende medewerkers. </w:t>
      </w:r>
    </w:p>
    <w:p w14:paraId="4F27CB8D" w14:textId="77777777" w:rsidR="00674AFD" w:rsidRPr="0095467C" w:rsidRDefault="00674AFD" w:rsidP="00027C73">
      <w:pPr>
        <w:pStyle w:val="Lijstalinea"/>
        <w:numPr>
          <w:ilvl w:val="0"/>
          <w:numId w:val="25"/>
        </w:numPr>
        <w:spacing w:after="33" w:line="270" w:lineRule="auto"/>
        <w:ind w:left="426"/>
      </w:pPr>
      <w:r w:rsidRPr="0095467C">
        <w:t>Als minder dan 11 leerlingen een bepaald keuzevak kiezen van een bepaald leerjaar, dan wordt het vak niet aangeboden. Tenzij er uit verschillende leerjaren structureel een combinatie is te maken meer dan 16 leerlingen. In het jaar daaropvolgend wordt het keuzevak niet automatisch aangeboden; het SLT maakt een beoordeling o.b.v. van de prognose en de formatie. Wanneer een vak 3 cursusjaren achtereen niet wordt aangeboden verdwijnt het definitief uit de lessentabel.</w:t>
      </w:r>
    </w:p>
    <w:p w14:paraId="44B8B484" w14:textId="77777777" w:rsidR="00674AFD" w:rsidRPr="0095467C" w:rsidRDefault="00674AFD" w:rsidP="00027C73">
      <w:pPr>
        <w:pStyle w:val="Lijstalinea"/>
        <w:numPr>
          <w:ilvl w:val="0"/>
          <w:numId w:val="25"/>
        </w:numPr>
        <w:spacing w:after="33" w:line="270" w:lineRule="auto"/>
        <w:ind w:left="426"/>
      </w:pPr>
      <w:r w:rsidRPr="0095467C">
        <w:t xml:space="preserve">Als minder dan 15 leerlingen een bepaald keuzevak kiezen, dan wordt het vak aangeboden met één contactuur per week minder. In Dronten kan dit vaak gecombineerd worden met LNK-uren.  </w:t>
      </w:r>
    </w:p>
    <w:p w14:paraId="7CF2130D" w14:textId="77777777" w:rsidR="00674AFD" w:rsidRPr="0095467C" w:rsidRDefault="00674AFD" w:rsidP="00027C73">
      <w:pPr>
        <w:pStyle w:val="Lijstalinea"/>
        <w:numPr>
          <w:ilvl w:val="0"/>
          <w:numId w:val="25"/>
        </w:numPr>
        <w:spacing w:after="33" w:line="270" w:lineRule="auto"/>
        <w:ind w:left="426"/>
      </w:pPr>
      <w:r w:rsidRPr="0095467C">
        <w:t xml:space="preserve">Bij kleine clusters in de bovenbouw wordt in overleg met de vakgroep besloten hoe dit geformeerd kan worden: samenvoegen met een ander leerjaar of minder lessen toekennen dan in de lessentabel is afgesproken.  </w:t>
      </w:r>
    </w:p>
    <w:p w14:paraId="7E3B7C49" w14:textId="77777777" w:rsidR="003D46A2" w:rsidRPr="0095467C" w:rsidRDefault="003D46A2" w:rsidP="00027C73">
      <w:pPr>
        <w:pStyle w:val="Lijstalinea"/>
        <w:numPr>
          <w:ilvl w:val="0"/>
          <w:numId w:val="25"/>
        </w:numPr>
        <w:spacing w:after="414" w:line="270" w:lineRule="auto"/>
        <w:ind w:left="426"/>
      </w:pPr>
      <w:r w:rsidRPr="0095467C">
        <w:t>V</w:t>
      </w:r>
      <w:r w:rsidR="00674AFD" w:rsidRPr="0095467C">
        <w:t>oor het samenstellen van klassen hanteren we de zogenoemde splitsingsnorm. De schoolleiding splitst lesgroepen boven de splitsingsnorm, tenzij de formatieve kaders worden overschreden. Dit gebeurt in goed overleg met betrokken docent(en) en hierover wordt in algemene zin overleg over gevoerd met de P(D)MR (personeelsgeleding).</w:t>
      </w:r>
    </w:p>
    <w:p w14:paraId="26462EFC" w14:textId="0F1647C8" w:rsidR="00674AFD" w:rsidRPr="0095467C" w:rsidRDefault="003D46A2" w:rsidP="00027C73">
      <w:pPr>
        <w:pStyle w:val="Lijstalinea"/>
        <w:numPr>
          <w:ilvl w:val="0"/>
          <w:numId w:val="25"/>
        </w:numPr>
        <w:spacing w:after="9" w:line="270" w:lineRule="auto"/>
        <w:ind w:left="426"/>
      </w:pPr>
      <w:r w:rsidRPr="0095467C">
        <w:t xml:space="preserve">In Dronten is tijdelijk een relatief kleine bovenbouw aanwezig waardoor het niet altijd mogelijk is om aan bovenstaande groepsgroottes te voldoen. Verplichte profielvakken moeten nu eenmaal aangeboden </w:t>
      </w:r>
      <w:r w:rsidRPr="0095467C">
        <w:lastRenderedPageBreak/>
        <w:t>worden. In voorkomende gevallen zal een oplossing gezocht worden die zo veel mogelijk met de bovenstaande afspraken overeenkomt.</w:t>
      </w:r>
    </w:p>
    <w:p w14:paraId="64CC7F39" w14:textId="77777777" w:rsidR="00AA779B" w:rsidRPr="0095467C" w:rsidRDefault="00AA779B" w:rsidP="00AA779B">
      <w:pPr>
        <w:spacing w:after="9" w:line="270" w:lineRule="auto"/>
      </w:pPr>
    </w:p>
    <w:p w14:paraId="6D854466" w14:textId="77777777" w:rsidR="00674AFD" w:rsidRPr="0095467C" w:rsidRDefault="00674AFD" w:rsidP="00674AFD">
      <w:pPr>
        <w:spacing w:after="9"/>
        <w:ind w:left="137"/>
      </w:pPr>
      <w:r w:rsidRPr="0095467C">
        <w:t xml:space="preserve">Tabel met de splitsingsnormen </w:t>
      </w:r>
    </w:p>
    <w:p w14:paraId="2C9DE881" w14:textId="77777777" w:rsidR="00674AFD" w:rsidRPr="0095467C" w:rsidRDefault="00674AFD" w:rsidP="00674AFD">
      <w:pPr>
        <w:spacing w:line="259" w:lineRule="auto"/>
        <w:ind w:left="862"/>
      </w:pPr>
      <w:r w:rsidRPr="0095467C">
        <w:t xml:space="preserve"> </w:t>
      </w:r>
    </w:p>
    <w:tbl>
      <w:tblPr>
        <w:tblStyle w:val="TableGrid"/>
        <w:tblW w:w="4258" w:type="dxa"/>
        <w:tblInd w:w="840" w:type="dxa"/>
        <w:tblCellMar>
          <w:top w:w="50" w:type="dxa"/>
          <w:left w:w="108" w:type="dxa"/>
          <w:right w:w="115" w:type="dxa"/>
        </w:tblCellMar>
        <w:tblLook w:val="04A0" w:firstRow="1" w:lastRow="0" w:firstColumn="1" w:lastColumn="0" w:noHBand="0" w:noVBand="1"/>
      </w:tblPr>
      <w:tblGrid>
        <w:gridCol w:w="1555"/>
        <w:gridCol w:w="2703"/>
      </w:tblGrid>
      <w:tr w:rsidR="0095467C" w:rsidRPr="0095467C" w14:paraId="437EC981" w14:textId="77777777" w:rsidTr="003553D2">
        <w:trPr>
          <w:trHeight w:val="300"/>
        </w:trPr>
        <w:tc>
          <w:tcPr>
            <w:tcW w:w="1555" w:type="dxa"/>
            <w:tcBorders>
              <w:top w:val="single" w:sz="4" w:space="0" w:color="000000"/>
              <w:left w:val="single" w:sz="4" w:space="0" w:color="000000"/>
              <w:bottom w:val="single" w:sz="4" w:space="0" w:color="000000"/>
              <w:right w:val="single" w:sz="4" w:space="0" w:color="000000"/>
            </w:tcBorders>
          </w:tcPr>
          <w:p w14:paraId="40ED629F" w14:textId="77777777" w:rsidR="00674AFD" w:rsidRPr="0095467C" w:rsidRDefault="00674AFD" w:rsidP="003553D2">
            <w:pPr>
              <w:spacing w:line="259" w:lineRule="auto"/>
            </w:pPr>
            <w:r w:rsidRPr="0095467C">
              <w:rPr>
                <w:rFonts w:eastAsia="Arial" w:cs="Arial"/>
                <w:b/>
              </w:rPr>
              <w:t xml:space="preserve">leerroute </w:t>
            </w:r>
          </w:p>
        </w:tc>
        <w:tc>
          <w:tcPr>
            <w:tcW w:w="2703" w:type="dxa"/>
            <w:tcBorders>
              <w:top w:val="single" w:sz="4" w:space="0" w:color="000000"/>
              <w:left w:val="single" w:sz="4" w:space="0" w:color="000000"/>
              <w:bottom w:val="single" w:sz="4" w:space="0" w:color="000000"/>
              <w:right w:val="single" w:sz="4" w:space="0" w:color="000000"/>
            </w:tcBorders>
          </w:tcPr>
          <w:p w14:paraId="6DED4BB8" w14:textId="77777777" w:rsidR="00674AFD" w:rsidRPr="0095467C" w:rsidRDefault="00674AFD" w:rsidP="003553D2">
            <w:pPr>
              <w:spacing w:line="259" w:lineRule="auto"/>
            </w:pPr>
            <w:r w:rsidRPr="0095467C">
              <w:rPr>
                <w:rFonts w:eastAsia="Arial" w:cs="Arial"/>
                <w:b/>
              </w:rPr>
              <w:t xml:space="preserve">splitsingsnorm </w:t>
            </w:r>
          </w:p>
        </w:tc>
      </w:tr>
      <w:tr w:rsidR="0095467C" w:rsidRPr="0095467C" w14:paraId="61EF689C" w14:textId="77777777" w:rsidTr="003553D2">
        <w:trPr>
          <w:trHeight w:val="302"/>
        </w:trPr>
        <w:tc>
          <w:tcPr>
            <w:tcW w:w="1555" w:type="dxa"/>
            <w:tcBorders>
              <w:top w:val="single" w:sz="4" w:space="0" w:color="000000"/>
              <w:left w:val="single" w:sz="4" w:space="0" w:color="000000"/>
              <w:bottom w:val="single" w:sz="4" w:space="0" w:color="000000"/>
              <w:right w:val="single" w:sz="4" w:space="0" w:color="000000"/>
            </w:tcBorders>
          </w:tcPr>
          <w:p w14:paraId="720536D9" w14:textId="77777777" w:rsidR="00674AFD" w:rsidRPr="0095467C" w:rsidRDefault="00674AFD" w:rsidP="003553D2">
            <w:pPr>
              <w:spacing w:line="259" w:lineRule="auto"/>
            </w:pPr>
            <w:r w:rsidRPr="0095467C">
              <w:rPr>
                <w:rFonts w:eastAsia="Arial" w:cs="Arial"/>
              </w:rPr>
              <w:t xml:space="preserve">PRO </w:t>
            </w:r>
          </w:p>
        </w:tc>
        <w:tc>
          <w:tcPr>
            <w:tcW w:w="2703" w:type="dxa"/>
            <w:tcBorders>
              <w:top w:val="single" w:sz="4" w:space="0" w:color="000000"/>
              <w:left w:val="single" w:sz="4" w:space="0" w:color="000000"/>
              <w:bottom w:val="single" w:sz="4" w:space="0" w:color="000000"/>
              <w:right w:val="single" w:sz="4" w:space="0" w:color="000000"/>
            </w:tcBorders>
          </w:tcPr>
          <w:p w14:paraId="4D160CA1" w14:textId="77777777" w:rsidR="00674AFD" w:rsidRPr="0095467C" w:rsidRDefault="00674AFD" w:rsidP="003553D2">
            <w:pPr>
              <w:spacing w:line="259" w:lineRule="auto"/>
            </w:pPr>
            <w:r w:rsidRPr="0095467C">
              <w:rPr>
                <w:rFonts w:eastAsia="Arial" w:cs="Arial"/>
              </w:rPr>
              <w:t xml:space="preserve">12 praktijk 15 theorie </w:t>
            </w:r>
          </w:p>
        </w:tc>
      </w:tr>
      <w:tr w:rsidR="0095467C" w:rsidRPr="0095467C" w14:paraId="7743FCB6" w14:textId="77777777" w:rsidTr="003553D2">
        <w:trPr>
          <w:trHeight w:val="300"/>
        </w:trPr>
        <w:tc>
          <w:tcPr>
            <w:tcW w:w="1555" w:type="dxa"/>
            <w:tcBorders>
              <w:top w:val="single" w:sz="4" w:space="0" w:color="000000"/>
              <w:left w:val="single" w:sz="4" w:space="0" w:color="000000"/>
              <w:bottom w:val="single" w:sz="4" w:space="0" w:color="000000"/>
              <w:right w:val="single" w:sz="4" w:space="0" w:color="000000"/>
            </w:tcBorders>
          </w:tcPr>
          <w:p w14:paraId="388D06A2" w14:textId="77777777" w:rsidR="00674AFD" w:rsidRPr="0095467C" w:rsidRDefault="00674AFD" w:rsidP="003553D2">
            <w:pPr>
              <w:spacing w:line="259" w:lineRule="auto"/>
            </w:pPr>
            <w:r w:rsidRPr="0095467C">
              <w:rPr>
                <w:rFonts w:eastAsia="Arial" w:cs="Arial"/>
              </w:rPr>
              <w:t xml:space="preserve">BB </w:t>
            </w:r>
          </w:p>
        </w:tc>
        <w:tc>
          <w:tcPr>
            <w:tcW w:w="2703" w:type="dxa"/>
            <w:tcBorders>
              <w:top w:val="single" w:sz="4" w:space="0" w:color="000000"/>
              <w:left w:val="single" w:sz="4" w:space="0" w:color="000000"/>
              <w:bottom w:val="single" w:sz="4" w:space="0" w:color="000000"/>
              <w:right w:val="single" w:sz="4" w:space="0" w:color="000000"/>
            </w:tcBorders>
          </w:tcPr>
          <w:p w14:paraId="15444627" w14:textId="77777777" w:rsidR="00674AFD" w:rsidRPr="0095467C" w:rsidRDefault="00674AFD" w:rsidP="003553D2">
            <w:pPr>
              <w:spacing w:line="259" w:lineRule="auto"/>
            </w:pPr>
            <w:r w:rsidRPr="0095467C">
              <w:rPr>
                <w:rFonts w:eastAsia="Arial" w:cs="Arial"/>
              </w:rPr>
              <w:t>16 praktijk &amp; 20 theorie</w:t>
            </w:r>
          </w:p>
        </w:tc>
      </w:tr>
      <w:tr w:rsidR="0095467C" w:rsidRPr="0095467C" w14:paraId="4BC4BC02" w14:textId="77777777" w:rsidTr="003553D2">
        <w:trPr>
          <w:trHeight w:val="300"/>
        </w:trPr>
        <w:tc>
          <w:tcPr>
            <w:tcW w:w="1555" w:type="dxa"/>
            <w:tcBorders>
              <w:top w:val="single" w:sz="4" w:space="0" w:color="000000"/>
              <w:left w:val="single" w:sz="4" w:space="0" w:color="000000"/>
              <w:bottom w:val="single" w:sz="4" w:space="0" w:color="000000"/>
              <w:right w:val="single" w:sz="4" w:space="0" w:color="000000"/>
            </w:tcBorders>
          </w:tcPr>
          <w:p w14:paraId="0642DB51" w14:textId="77777777" w:rsidR="00674AFD" w:rsidRPr="0095467C" w:rsidRDefault="00674AFD" w:rsidP="003553D2">
            <w:pPr>
              <w:spacing w:line="259" w:lineRule="auto"/>
            </w:pPr>
            <w:r w:rsidRPr="0095467C">
              <w:rPr>
                <w:rFonts w:eastAsia="Arial" w:cs="Arial"/>
              </w:rPr>
              <w:t xml:space="preserve">KB </w:t>
            </w:r>
          </w:p>
        </w:tc>
        <w:tc>
          <w:tcPr>
            <w:tcW w:w="2703" w:type="dxa"/>
            <w:tcBorders>
              <w:top w:val="single" w:sz="4" w:space="0" w:color="000000"/>
              <w:left w:val="single" w:sz="4" w:space="0" w:color="000000"/>
              <w:bottom w:val="single" w:sz="4" w:space="0" w:color="000000"/>
              <w:right w:val="single" w:sz="4" w:space="0" w:color="000000"/>
            </w:tcBorders>
          </w:tcPr>
          <w:p w14:paraId="4DE45604" w14:textId="77777777" w:rsidR="00674AFD" w:rsidRPr="0095467C" w:rsidRDefault="00674AFD" w:rsidP="003553D2">
            <w:pPr>
              <w:spacing w:line="259" w:lineRule="auto"/>
            </w:pPr>
            <w:r w:rsidRPr="0095467C">
              <w:rPr>
                <w:rFonts w:eastAsia="Arial" w:cs="Arial"/>
              </w:rPr>
              <w:t>16 praktijk &amp; 24 theorie</w:t>
            </w:r>
          </w:p>
        </w:tc>
      </w:tr>
      <w:tr w:rsidR="0095467C" w:rsidRPr="0095467C" w14:paraId="77F9170F" w14:textId="77777777" w:rsidTr="003553D2">
        <w:trPr>
          <w:trHeight w:val="302"/>
        </w:trPr>
        <w:tc>
          <w:tcPr>
            <w:tcW w:w="1555" w:type="dxa"/>
            <w:tcBorders>
              <w:top w:val="single" w:sz="4" w:space="0" w:color="000000"/>
              <w:left w:val="single" w:sz="4" w:space="0" w:color="000000"/>
              <w:bottom w:val="single" w:sz="4" w:space="0" w:color="000000"/>
              <w:right w:val="single" w:sz="4" w:space="0" w:color="000000"/>
            </w:tcBorders>
          </w:tcPr>
          <w:p w14:paraId="556D696C" w14:textId="77777777" w:rsidR="00674AFD" w:rsidRPr="0095467C" w:rsidRDefault="00674AFD" w:rsidP="003553D2">
            <w:pPr>
              <w:spacing w:line="259" w:lineRule="auto"/>
            </w:pPr>
            <w:r w:rsidRPr="0095467C">
              <w:rPr>
                <w:rFonts w:eastAsia="Arial" w:cs="Arial"/>
              </w:rPr>
              <w:t xml:space="preserve">TL(mavo) </w:t>
            </w:r>
          </w:p>
        </w:tc>
        <w:tc>
          <w:tcPr>
            <w:tcW w:w="2703" w:type="dxa"/>
            <w:tcBorders>
              <w:top w:val="single" w:sz="4" w:space="0" w:color="000000"/>
              <w:left w:val="single" w:sz="4" w:space="0" w:color="000000"/>
              <w:bottom w:val="single" w:sz="4" w:space="0" w:color="000000"/>
              <w:right w:val="single" w:sz="4" w:space="0" w:color="000000"/>
            </w:tcBorders>
          </w:tcPr>
          <w:p w14:paraId="61724620" w14:textId="77777777" w:rsidR="00674AFD" w:rsidRPr="0095467C" w:rsidRDefault="00674AFD" w:rsidP="003553D2">
            <w:pPr>
              <w:spacing w:line="259" w:lineRule="auto"/>
            </w:pPr>
            <w:r w:rsidRPr="0095467C">
              <w:rPr>
                <w:rFonts w:eastAsia="Arial" w:cs="Arial"/>
              </w:rPr>
              <w:t xml:space="preserve">32 </w:t>
            </w:r>
          </w:p>
        </w:tc>
      </w:tr>
      <w:tr w:rsidR="0095467C" w:rsidRPr="0095467C" w14:paraId="02A95E67" w14:textId="77777777" w:rsidTr="003553D2">
        <w:trPr>
          <w:trHeight w:val="300"/>
        </w:trPr>
        <w:tc>
          <w:tcPr>
            <w:tcW w:w="1555" w:type="dxa"/>
            <w:tcBorders>
              <w:top w:val="single" w:sz="4" w:space="0" w:color="000000"/>
              <w:left w:val="single" w:sz="4" w:space="0" w:color="000000"/>
              <w:bottom w:val="single" w:sz="4" w:space="0" w:color="000000"/>
              <w:right w:val="single" w:sz="4" w:space="0" w:color="000000"/>
            </w:tcBorders>
          </w:tcPr>
          <w:p w14:paraId="29F687B2" w14:textId="77777777" w:rsidR="00674AFD" w:rsidRPr="0095467C" w:rsidRDefault="00674AFD" w:rsidP="003553D2">
            <w:pPr>
              <w:spacing w:line="259" w:lineRule="auto"/>
            </w:pPr>
            <w:r w:rsidRPr="0095467C">
              <w:rPr>
                <w:rFonts w:eastAsia="Arial" w:cs="Arial"/>
              </w:rPr>
              <w:t xml:space="preserve">havo </w:t>
            </w:r>
          </w:p>
        </w:tc>
        <w:tc>
          <w:tcPr>
            <w:tcW w:w="2703" w:type="dxa"/>
            <w:tcBorders>
              <w:top w:val="single" w:sz="4" w:space="0" w:color="000000"/>
              <w:left w:val="single" w:sz="4" w:space="0" w:color="000000"/>
              <w:bottom w:val="single" w:sz="4" w:space="0" w:color="000000"/>
              <w:right w:val="single" w:sz="4" w:space="0" w:color="000000"/>
            </w:tcBorders>
          </w:tcPr>
          <w:p w14:paraId="71C08B35" w14:textId="77777777" w:rsidR="00674AFD" w:rsidRPr="0095467C" w:rsidRDefault="00674AFD" w:rsidP="003553D2">
            <w:pPr>
              <w:spacing w:line="259" w:lineRule="auto"/>
            </w:pPr>
            <w:r w:rsidRPr="0095467C">
              <w:rPr>
                <w:rFonts w:eastAsia="Arial" w:cs="Arial"/>
              </w:rPr>
              <w:t xml:space="preserve">32 </w:t>
            </w:r>
          </w:p>
        </w:tc>
      </w:tr>
      <w:tr w:rsidR="0095467C" w:rsidRPr="0095467C" w14:paraId="317C3FCE" w14:textId="77777777" w:rsidTr="003553D2">
        <w:trPr>
          <w:trHeight w:val="302"/>
        </w:trPr>
        <w:tc>
          <w:tcPr>
            <w:tcW w:w="1555" w:type="dxa"/>
            <w:tcBorders>
              <w:top w:val="single" w:sz="4" w:space="0" w:color="000000"/>
              <w:left w:val="single" w:sz="4" w:space="0" w:color="000000"/>
              <w:bottom w:val="single" w:sz="4" w:space="0" w:color="000000"/>
              <w:right w:val="single" w:sz="4" w:space="0" w:color="000000"/>
            </w:tcBorders>
          </w:tcPr>
          <w:p w14:paraId="3697497E" w14:textId="77777777" w:rsidR="00674AFD" w:rsidRPr="0095467C" w:rsidRDefault="00674AFD" w:rsidP="003553D2">
            <w:pPr>
              <w:spacing w:line="259" w:lineRule="auto"/>
            </w:pPr>
            <w:r w:rsidRPr="0095467C">
              <w:rPr>
                <w:rFonts w:eastAsia="Arial" w:cs="Arial"/>
              </w:rPr>
              <w:t xml:space="preserve">vwo/AR </w:t>
            </w:r>
          </w:p>
        </w:tc>
        <w:tc>
          <w:tcPr>
            <w:tcW w:w="2703" w:type="dxa"/>
            <w:tcBorders>
              <w:top w:val="single" w:sz="4" w:space="0" w:color="000000"/>
              <w:left w:val="single" w:sz="4" w:space="0" w:color="000000"/>
              <w:bottom w:val="single" w:sz="4" w:space="0" w:color="000000"/>
              <w:right w:val="single" w:sz="4" w:space="0" w:color="000000"/>
            </w:tcBorders>
          </w:tcPr>
          <w:p w14:paraId="64EB49D4" w14:textId="77777777" w:rsidR="00674AFD" w:rsidRPr="0095467C" w:rsidRDefault="00674AFD" w:rsidP="003553D2">
            <w:pPr>
              <w:spacing w:line="259" w:lineRule="auto"/>
            </w:pPr>
            <w:r w:rsidRPr="0095467C">
              <w:rPr>
                <w:rFonts w:eastAsia="Arial" w:cs="Arial"/>
              </w:rPr>
              <w:t xml:space="preserve">32 </w:t>
            </w:r>
          </w:p>
        </w:tc>
      </w:tr>
    </w:tbl>
    <w:p w14:paraId="5E9DF813" w14:textId="77777777" w:rsidR="00027C73" w:rsidRPr="0095467C" w:rsidRDefault="00027C73" w:rsidP="00027C73">
      <w:pPr>
        <w:spacing w:line="259" w:lineRule="auto"/>
      </w:pPr>
    </w:p>
    <w:p w14:paraId="06A889FF" w14:textId="6F099B76" w:rsidR="00674AFD" w:rsidRPr="0095467C" w:rsidRDefault="00027C73" w:rsidP="00027C73">
      <w:pPr>
        <w:spacing w:line="259" w:lineRule="auto"/>
      </w:pPr>
      <w:r w:rsidRPr="0095467C">
        <w:t>Voor de beroepsgerichte vakken op het VIA geldt dat het aantal leerlingen per vak wordt bepaald n.a.v. het aantal beschikbare werkplekken en in relatie tot de veiligheid indien het formatiebudget hiervoor ruimte biedt.</w:t>
      </w:r>
      <w:r w:rsidR="00674AFD" w:rsidRPr="0095467C">
        <w:t xml:space="preserve"> </w:t>
      </w:r>
    </w:p>
    <w:p w14:paraId="69ABF362" w14:textId="77777777" w:rsidR="00027C73" w:rsidRPr="0095467C" w:rsidRDefault="00027C73" w:rsidP="00674AFD">
      <w:pPr>
        <w:rPr>
          <w:rFonts w:cstheme="minorHAnsi"/>
        </w:rPr>
      </w:pPr>
    </w:p>
    <w:p w14:paraId="0AC2AC0B" w14:textId="0FB9E5A7" w:rsidR="00674AFD" w:rsidRPr="0095467C" w:rsidRDefault="00674AFD" w:rsidP="00674AFD">
      <w:pPr>
        <w:rPr>
          <w:rFonts w:cstheme="minorHAnsi"/>
        </w:rPr>
      </w:pPr>
      <w:r w:rsidRPr="0095467C">
        <w:rPr>
          <w:rFonts w:cstheme="minorHAnsi"/>
        </w:rPr>
        <w:t xml:space="preserve">Naast de formatieve kaders is een aantal </w:t>
      </w:r>
      <w:r w:rsidRPr="0095467C">
        <w:rPr>
          <w:rFonts w:cstheme="minorHAnsi"/>
          <w:i/>
        </w:rPr>
        <w:t xml:space="preserve">onderwijskundige </w:t>
      </w:r>
      <w:r w:rsidRPr="0095467C">
        <w:rPr>
          <w:rFonts w:cstheme="minorHAnsi"/>
        </w:rPr>
        <w:t>kaders afgesproken voor het rooster. Kaders die tot doel hebben om de kwaliteit van het onderwijsleerproces te versterken:</w:t>
      </w:r>
    </w:p>
    <w:p w14:paraId="694EE282" w14:textId="77777777" w:rsidR="00674AFD" w:rsidRPr="0095467C" w:rsidRDefault="00674AFD" w:rsidP="00027C73">
      <w:pPr>
        <w:pStyle w:val="Lijstalinea"/>
        <w:numPr>
          <w:ilvl w:val="0"/>
          <w:numId w:val="26"/>
        </w:numPr>
        <w:spacing w:after="200" w:line="276" w:lineRule="auto"/>
        <w:ind w:left="426"/>
        <w:rPr>
          <w:rFonts w:cstheme="minorHAnsi"/>
        </w:rPr>
      </w:pPr>
      <w:r w:rsidRPr="0095467C">
        <w:rPr>
          <w:rFonts w:eastAsia="Quattrocento Sans" w:cstheme="minorHAnsi"/>
        </w:rPr>
        <w:t>Elk schoolvak voor een bepaalde klas wordt indien mogelijk één keer per dag</w:t>
      </w:r>
      <w:r w:rsidRPr="0095467C">
        <w:rPr>
          <w:rStyle w:val="Voetnootmarkering"/>
          <w:rFonts w:eastAsia="Quattrocento Sans" w:cstheme="minorHAnsi"/>
        </w:rPr>
        <w:footnoteReference w:id="3"/>
      </w:r>
      <w:r w:rsidRPr="0095467C">
        <w:rPr>
          <w:rFonts w:eastAsia="Quattrocento Sans" w:cstheme="minorHAnsi"/>
        </w:rPr>
        <w:t xml:space="preserve"> ingeroosterd.</w:t>
      </w:r>
    </w:p>
    <w:p w14:paraId="12547E21" w14:textId="77777777" w:rsidR="00674AFD" w:rsidRPr="0095467C" w:rsidRDefault="00674AFD" w:rsidP="00027C73">
      <w:pPr>
        <w:pStyle w:val="Lijstalinea"/>
        <w:numPr>
          <w:ilvl w:val="0"/>
          <w:numId w:val="26"/>
        </w:numPr>
        <w:spacing w:after="200" w:line="276" w:lineRule="auto"/>
        <w:ind w:left="426"/>
        <w:rPr>
          <w:rFonts w:cstheme="minorHAnsi"/>
        </w:rPr>
      </w:pPr>
      <w:r w:rsidRPr="0095467C">
        <w:rPr>
          <w:rFonts w:cstheme="minorHAnsi"/>
        </w:rPr>
        <w:t xml:space="preserve">Een extra vak op havo en vwo wordt weliswaar aangeboden, maar kan niet altijd worden ingeroosterd. Dit vak zal grotendeels op eigen kracht worden gedaan; er kan wel van de aangeboden KWT-uren (Kampen) gebruik gemaakt worden. </w:t>
      </w:r>
    </w:p>
    <w:p w14:paraId="4E7776DA" w14:textId="77777777" w:rsidR="00674AFD" w:rsidRPr="0095467C" w:rsidRDefault="00674AFD" w:rsidP="00027C73">
      <w:pPr>
        <w:pStyle w:val="Lijstalinea"/>
        <w:numPr>
          <w:ilvl w:val="0"/>
          <w:numId w:val="26"/>
        </w:numPr>
        <w:spacing w:after="200" w:line="276" w:lineRule="auto"/>
        <w:ind w:left="426"/>
        <w:rPr>
          <w:rFonts w:cstheme="minorHAnsi"/>
        </w:rPr>
      </w:pPr>
      <w:r w:rsidRPr="0095467C">
        <w:rPr>
          <w:rFonts w:cstheme="minorHAnsi"/>
        </w:rPr>
        <w:t xml:space="preserve">De mentor geeft, naast het mentoruur, ook les aan zijn mentorleerlingen. </w:t>
      </w:r>
    </w:p>
    <w:p w14:paraId="5817723E" w14:textId="77777777" w:rsidR="00674AFD" w:rsidRPr="0095467C" w:rsidRDefault="00674AFD" w:rsidP="00027C73">
      <w:pPr>
        <w:pStyle w:val="Lijstalinea"/>
        <w:numPr>
          <w:ilvl w:val="0"/>
          <w:numId w:val="26"/>
        </w:numPr>
        <w:spacing w:after="200" w:line="276" w:lineRule="auto"/>
        <w:ind w:left="426"/>
        <w:rPr>
          <w:rFonts w:cstheme="minorHAnsi"/>
        </w:rPr>
      </w:pPr>
      <w:r w:rsidRPr="0095467C">
        <w:rPr>
          <w:rFonts w:cstheme="minorHAnsi"/>
        </w:rPr>
        <w:t>Geen tussenuren in het basisrooster voor klas 1 en 2 en indien mogelijk ook voor klas 3</w:t>
      </w:r>
    </w:p>
    <w:p w14:paraId="1686A7B1" w14:textId="77777777" w:rsidR="00674AFD" w:rsidRPr="0095467C" w:rsidRDefault="00674AFD" w:rsidP="00027C73">
      <w:pPr>
        <w:pStyle w:val="Lijstalinea"/>
        <w:numPr>
          <w:ilvl w:val="0"/>
          <w:numId w:val="26"/>
        </w:numPr>
        <w:spacing w:line="276" w:lineRule="auto"/>
        <w:ind w:left="426"/>
        <w:rPr>
          <w:rFonts w:cstheme="minorHAnsi"/>
        </w:rPr>
      </w:pPr>
      <w:r w:rsidRPr="0095467C">
        <w:rPr>
          <w:rFonts w:cstheme="minorHAnsi"/>
        </w:rPr>
        <w:t>Klas 1 en 2 starten zoveel mogelijk op het 1e lesuur.</w:t>
      </w:r>
    </w:p>
    <w:p w14:paraId="46DBEBBF" w14:textId="77777777" w:rsidR="00674AFD" w:rsidRPr="0095467C" w:rsidRDefault="00674AFD" w:rsidP="00027C73">
      <w:pPr>
        <w:pStyle w:val="Lijstalinea"/>
        <w:numPr>
          <w:ilvl w:val="0"/>
          <w:numId w:val="26"/>
        </w:numPr>
        <w:spacing w:line="276" w:lineRule="auto"/>
        <w:ind w:left="426"/>
        <w:rPr>
          <w:rFonts w:cstheme="minorHAnsi"/>
        </w:rPr>
      </w:pPr>
      <w:r w:rsidRPr="0095467C">
        <w:rPr>
          <w:rFonts w:cstheme="minorHAnsi"/>
        </w:rPr>
        <w:t xml:space="preserve">Voor bovenbouwleerlingen hanteren we de volgende streefnormen voor tussenuren: </w:t>
      </w:r>
    </w:p>
    <w:p w14:paraId="7DEFCBEF" w14:textId="77777777" w:rsidR="00674AFD" w:rsidRPr="0095467C" w:rsidRDefault="00674AFD" w:rsidP="00027C73">
      <w:pPr>
        <w:pStyle w:val="Lijstalinea"/>
        <w:numPr>
          <w:ilvl w:val="1"/>
          <w:numId w:val="26"/>
        </w:numPr>
        <w:spacing w:line="276" w:lineRule="auto"/>
        <w:ind w:left="851"/>
        <w:rPr>
          <w:rFonts w:cstheme="minorHAnsi"/>
        </w:rPr>
      </w:pPr>
      <w:r w:rsidRPr="0095467C">
        <w:rPr>
          <w:rFonts w:cstheme="minorHAnsi"/>
        </w:rPr>
        <w:t>PRO leerlingen geen tussenuren;</w:t>
      </w:r>
    </w:p>
    <w:p w14:paraId="736F8FF3" w14:textId="77777777" w:rsidR="00674AFD" w:rsidRPr="0095467C" w:rsidRDefault="00674AFD" w:rsidP="00027C73">
      <w:pPr>
        <w:pStyle w:val="Lijstalinea"/>
        <w:numPr>
          <w:ilvl w:val="1"/>
          <w:numId w:val="26"/>
        </w:numPr>
        <w:spacing w:line="276" w:lineRule="auto"/>
        <w:ind w:left="851"/>
        <w:rPr>
          <w:rFonts w:cstheme="minorHAnsi"/>
        </w:rPr>
      </w:pPr>
      <w:r w:rsidRPr="0095467C">
        <w:rPr>
          <w:rFonts w:cstheme="minorHAnsi"/>
        </w:rPr>
        <w:t>vmbo leerlingen minder dan 4 tussenuren;</w:t>
      </w:r>
    </w:p>
    <w:p w14:paraId="19F24E7F" w14:textId="77777777" w:rsidR="00674AFD" w:rsidRPr="0095467C" w:rsidRDefault="00674AFD" w:rsidP="00027C73">
      <w:pPr>
        <w:pStyle w:val="Lijstalinea"/>
        <w:numPr>
          <w:ilvl w:val="1"/>
          <w:numId w:val="26"/>
        </w:numPr>
        <w:spacing w:line="276" w:lineRule="auto"/>
        <w:ind w:left="851"/>
        <w:rPr>
          <w:rFonts w:cstheme="minorHAnsi"/>
        </w:rPr>
      </w:pPr>
      <w:r w:rsidRPr="0095467C">
        <w:rPr>
          <w:rFonts w:cstheme="minorHAnsi"/>
        </w:rPr>
        <w:t>vwo- en havoleerlingen minder dan 6 tussenuren.</w:t>
      </w:r>
    </w:p>
    <w:p w14:paraId="7FBA234B" w14:textId="77777777" w:rsidR="00674AFD" w:rsidRPr="0095467C" w:rsidRDefault="00674AFD" w:rsidP="00027C73">
      <w:pPr>
        <w:pStyle w:val="Lijstalinea"/>
        <w:numPr>
          <w:ilvl w:val="0"/>
          <w:numId w:val="26"/>
        </w:numPr>
        <w:spacing w:line="276" w:lineRule="auto"/>
        <w:ind w:left="426"/>
        <w:rPr>
          <w:rFonts w:cstheme="minorHAnsi"/>
        </w:rPr>
      </w:pPr>
      <w:r w:rsidRPr="0095467C">
        <w:rPr>
          <w:rFonts w:cstheme="minorHAnsi"/>
        </w:rPr>
        <w:t>Theorielessen zoveel mogelijk in specifieke vaklokalen; praktijkvakken in praktijklokalen.</w:t>
      </w:r>
    </w:p>
    <w:p w14:paraId="22E8E730" w14:textId="60E8B157" w:rsidR="00674AFD" w:rsidRPr="0095467C" w:rsidRDefault="00674AFD" w:rsidP="00027C73">
      <w:pPr>
        <w:pStyle w:val="Lijstalinea"/>
        <w:numPr>
          <w:ilvl w:val="0"/>
          <w:numId w:val="26"/>
        </w:numPr>
        <w:spacing w:line="276" w:lineRule="auto"/>
        <w:ind w:left="426"/>
        <w:rPr>
          <w:rFonts w:cstheme="minorHAnsi"/>
        </w:rPr>
      </w:pPr>
      <w:r w:rsidRPr="0095467C">
        <w:rPr>
          <w:rFonts w:cstheme="minorHAnsi"/>
        </w:rPr>
        <w:t>Docenten die hun vak in blokken van twee uur willen inroosteren, geven dit aan op het wensenformulier.</w:t>
      </w:r>
    </w:p>
    <w:p w14:paraId="59E84353" w14:textId="77777777" w:rsidR="00027C73" w:rsidRPr="0095467C" w:rsidRDefault="00027C73" w:rsidP="00027C73">
      <w:pPr>
        <w:spacing w:line="276" w:lineRule="auto"/>
        <w:rPr>
          <w:rFonts w:cstheme="minorHAnsi"/>
        </w:rPr>
      </w:pPr>
    </w:p>
    <w:p w14:paraId="5BF9E87D" w14:textId="77777777" w:rsidR="00674AFD" w:rsidRPr="0095467C" w:rsidRDefault="00674AFD" w:rsidP="00674AFD">
      <w:pPr>
        <w:rPr>
          <w:rFonts w:cstheme="minorHAnsi"/>
        </w:rPr>
      </w:pPr>
      <w:r w:rsidRPr="0095467C">
        <w:rPr>
          <w:rFonts w:cstheme="minorHAnsi"/>
        </w:rPr>
        <w:t xml:space="preserve">Op het niveau van de stichting is verder een aantal aanvullende </w:t>
      </w:r>
      <w:r w:rsidRPr="0095467C">
        <w:rPr>
          <w:rFonts w:cstheme="minorHAnsi"/>
          <w:i/>
        </w:rPr>
        <w:t>praktische afspraken</w:t>
      </w:r>
      <w:r w:rsidRPr="0095467C">
        <w:rPr>
          <w:rFonts w:cstheme="minorHAnsi"/>
        </w:rPr>
        <w:t xml:space="preserve"> gemaakt. Deze afspraken zijn weliswaar niet ‘in beton gegoten’ maar worden niet gemakkelijk terzijde geschoven. </w:t>
      </w:r>
    </w:p>
    <w:p w14:paraId="1D58EB43" w14:textId="77777777" w:rsidR="00674AFD" w:rsidRPr="0095467C" w:rsidRDefault="00674AFD" w:rsidP="00027C73">
      <w:pPr>
        <w:pStyle w:val="Lijstalinea"/>
        <w:numPr>
          <w:ilvl w:val="0"/>
          <w:numId w:val="24"/>
        </w:numPr>
        <w:spacing w:after="200" w:line="276" w:lineRule="auto"/>
        <w:ind w:left="426"/>
        <w:rPr>
          <w:rFonts w:cstheme="minorHAnsi"/>
        </w:rPr>
      </w:pPr>
      <w:r w:rsidRPr="0095467C">
        <w:rPr>
          <w:rFonts w:cstheme="minorHAnsi"/>
        </w:rPr>
        <w:t xml:space="preserve">Op dinsdagmiddag worden er na 14.30 uur (Campus Kampen), 15.05 uur (VIA/PRO Kampen) en 14.50 (Dronten) in principe geen lessen ingeroosterd. Deze tijd is beschikbaar voor overleg en vergaderingen. </w:t>
      </w:r>
    </w:p>
    <w:p w14:paraId="774639BC" w14:textId="77777777" w:rsidR="00674AFD" w:rsidRPr="0095467C" w:rsidRDefault="00674AFD" w:rsidP="00027C73">
      <w:pPr>
        <w:pStyle w:val="Lijstalinea"/>
        <w:numPr>
          <w:ilvl w:val="0"/>
          <w:numId w:val="24"/>
        </w:numPr>
        <w:spacing w:line="276" w:lineRule="auto"/>
        <w:ind w:left="426"/>
        <w:rPr>
          <w:rFonts w:cstheme="minorHAnsi"/>
        </w:rPr>
      </w:pPr>
      <w:r w:rsidRPr="0095467C">
        <w:rPr>
          <w:rFonts w:cstheme="minorHAnsi"/>
        </w:rPr>
        <w:t xml:space="preserve">Op donderdagmiddag worden de decanen in Kampen en Dronten vrij geroosterd. </w:t>
      </w:r>
    </w:p>
    <w:p w14:paraId="5C21DDAD" w14:textId="77777777" w:rsidR="00674AFD" w:rsidRPr="0095467C" w:rsidRDefault="00674AFD" w:rsidP="00027C73">
      <w:pPr>
        <w:pStyle w:val="Lijstalinea"/>
        <w:numPr>
          <w:ilvl w:val="0"/>
          <w:numId w:val="24"/>
        </w:numPr>
        <w:spacing w:line="276" w:lineRule="auto"/>
        <w:ind w:left="426"/>
        <w:rPr>
          <w:rFonts w:cstheme="minorHAnsi"/>
        </w:rPr>
      </w:pPr>
      <w:r w:rsidRPr="0095467C">
        <w:rPr>
          <w:rFonts w:cstheme="minorHAnsi"/>
        </w:rPr>
        <w:t>De schoolleiding (SLT/locatieoverleg) vergadert op maandagochtend tussen 9-11 uur en kan dan niet worden ingezet voor lessen.</w:t>
      </w:r>
    </w:p>
    <w:p w14:paraId="1A4223C5" w14:textId="770DA09E" w:rsidR="00027C73" w:rsidRPr="0095467C" w:rsidRDefault="00027C73">
      <w:pPr>
        <w:spacing w:after="160" w:line="259" w:lineRule="auto"/>
      </w:pPr>
      <w:r w:rsidRPr="0095467C">
        <w:br w:type="page"/>
      </w:r>
    </w:p>
    <w:p w14:paraId="60D7B672" w14:textId="77777777" w:rsidR="00674AFD" w:rsidRPr="0095467C" w:rsidRDefault="00674AFD" w:rsidP="00674AFD">
      <w:pPr>
        <w:spacing w:after="191" w:line="259" w:lineRule="auto"/>
      </w:pPr>
    </w:p>
    <w:p w14:paraId="766301F2" w14:textId="1807F8E0" w:rsidR="00674AFD" w:rsidRPr="0095467C" w:rsidRDefault="00674AFD" w:rsidP="00674AFD">
      <w:pPr>
        <w:pStyle w:val="Kop4"/>
        <w:spacing w:after="180"/>
        <w:rPr>
          <w:color w:val="auto"/>
        </w:rPr>
      </w:pPr>
      <w:r w:rsidRPr="0095467C">
        <w:rPr>
          <w:color w:val="auto"/>
        </w:rPr>
        <w:t xml:space="preserve">Specifieke kaders bij keuzevakken </w:t>
      </w:r>
    </w:p>
    <w:p w14:paraId="4F4EA8C2" w14:textId="77777777" w:rsidR="00674AFD" w:rsidRPr="0095467C" w:rsidRDefault="00674AFD" w:rsidP="00674AFD">
      <w:r w:rsidRPr="0095467C">
        <w:t xml:space="preserve">Jaarlijks kiezen de leerlingen voor de bovenbouw een vakkenpakket om examen in te doen. Dit keuzeproces wordt begeleid door de mentor en ondersteunt door de decanen.  </w:t>
      </w:r>
    </w:p>
    <w:p w14:paraId="17AD0075" w14:textId="77777777" w:rsidR="00674AFD" w:rsidRPr="0095467C" w:rsidRDefault="00674AFD" w:rsidP="00674AFD">
      <w:pPr>
        <w:spacing w:after="168" w:line="267" w:lineRule="auto"/>
      </w:pPr>
      <w:r w:rsidRPr="0095467C">
        <w:rPr>
          <w:i/>
        </w:rPr>
        <w:t xml:space="preserve">Op de onderwijs logistieke planning worden data genoemd waarop de keuzes van leerlingen bekend moeten zijn. Na deze data kan er niet meer worden gewisseld.  </w:t>
      </w:r>
    </w:p>
    <w:p w14:paraId="62F74425" w14:textId="77777777" w:rsidR="00674AFD" w:rsidRPr="0095467C" w:rsidRDefault="00674AFD" w:rsidP="00674AFD">
      <w:pPr>
        <w:rPr>
          <w:rFonts w:cstheme="minorHAnsi"/>
        </w:rPr>
      </w:pPr>
      <w:r w:rsidRPr="0095467C">
        <w:rPr>
          <w:rFonts w:cstheme="minorHAnsi"/>
        </w:rPr>
        <w:t xml:space="preserve">De breedte van het aantal keuzevakken in de bovenbouw wordt in belangrijke mate bepaald door het aantal leerlingen. De roostermakers archiveren de vakkenkeuzes van leerlingen met het doel om betrouwbare prognoses te maken voor de formatie. Als blijkt dat er teveel keuzevakken zijn om een betaalbaar rooster te maken, dan wordt dit aanbod tijdig terug gebracht. </w:t>
      </w:r>
    </w:p>
    <w:p w14:paraId="42FE2FC2" w14:textId="77777777" w:rsidR="00674AFD" w:rsidRPr="0095467C" w:rsidRDefault="00674AFD" w:rsidP="00674AFD">
      <w:pPr>
        <w:rPr>
          <w:rFonts w:cstheme="minorHAnsi"/>
        </w:rPr>
      </w:pPr>
      <w:r w:rsidRPr="0095467C">
        <w:rPr>
          <w:rFonts w:cstheme="minorHAnsi"/>
        </w:rPr>
        <w:t xml:space="preserve">De roostermakers houden bij welke combinaties van vakken weinig worden gekozen (1-3%) van de leerlingen. Als blijkt dat een bepaalde combinatie van vakken een goed rooster belemmert, dan wordt bij de vakkenkeuze een voorbehoud gemaakt. De leerling moet een alternatieve keuze aanleveren voor hun vakkenpakket. </w:t>
      </w:r>
    </w:p>
    <w:p w14:paraId="2C7B0A08" w14:textId="77777777" w:rsidR="00674AFD" w:rsidRPr="0095467C" w:rsidRDefault="00674AFD" w:rsidP="00674AFD">
      <w:pPr>
        <w:rPr>
          <w:rFonts w:cstheme="minorHAnsi"/>
        </w:rPr>
      </w:pPr>
      <w:r w:rsidRPr="0095467C">
        <w:rPr>
          <w:rFonts w:cstheme="minorHAnsi"/>
          <w:i/>
          <w:iCs/>
        </w:rPr>
        <w:t xml:space="preserve">In Kampen worden de volgende vakken voor verschillende leerjaren en/of leerroutes op hetzelfde moment geroosterd; Latijn, Grieks, muziek, handvaardigheid, drama, tekenen en BSM. Hierdoor lopen leerlingen het risico dat ze lessen missen wanneer ze 2 vakken uit bovenstaande lijst kiezen. </w:t>
      </w:r>
    </w:p>
    <w:p w14:paraId="073CA59C" w14:textId="77777777" w:rsidR="00674AFD" w:rsidRPr="0095467C" w:rsidRDefault="00674AFD" w:rsidP="00674AFD">
      <w:pPr>
        <w:rPr>
          <w:rFonts w:cstheme="minorHAnsi"/>
        </w:rPr>
      </w:pPr>
      <w:r w:rsidRPr="0095467C">
        <w:rPr>
          <w:rFonts w:cstheme="minorHAnsi"/>
        </w:rPr>
        <w:t>Extra vakken worden voor de havo en het vwo worden niet mee geroosterd. Dit zou de samenstelling van het rooster op voorhand te veel belemmeren. Wel wordt achteraf gekeken wat de mogelijkheden zijn om het vak mee te rooster; dit kan van jaar tot jaar verschillen.</w:t>
      </w:r>
    </w:p>
    <w:p w14:paraId="3CA9F6D6" w14:textId="77777777" w:rsidR="00674AFD" w:rsidRPr="0095467C" w:rsidRDefault="00674AFD" w:rsidP="00674AFD">
      <w:pPr>
        <w:rPr>
          <w:rFonts w:cstheme="minorHAnsi"/>
        </w:rPr>
      </w:pPr>
      <w:r w:rsidRPr="0095467C">
        <w:rPr>
          <w:rFonts w:cstheme="minorHAnsi"/>
        </w:rPr>
        <w:t xml:space="preserve">Het extra vak van de TL (mavo) leerlingen die willen doorstromen naar de havo wordt in principe wel geroosterd. </w:t>
      </w:r>
      <w:r w:rsidRPr="0095467C">
        <w:t xml:space="preserve"> </w:t>
      </w:r>
    </w:p>
    <w:p w14:paraId="475E69C5" w14:textId="77777777" w:rsidR="00674AFD" w:rsidRPr="0095467C" w:rsidRDefault="00674AFD" w:rsidP="003E04AF"/>
    <w:p w14:paraId="0F0EC587" w14:textId="3B53F9F2" w:rsidR="003D46A2" w:rsidRDefault="003D46A2">
      <w:pPr>
        <w:spacing w:after="160" w:line="259" w:lineRule="auto"/>
        <w:rPr>
          <w:color w:val="FF0000"/>
        </w:rPr>
      </w:pPr>
      <w:r>
        <w:rPr>
          <w:color w:val="FF0000"/>
        </w:rPr>
        <w:br w:type="page"/>
      </w:r>
    </w:p>
    <w:p w14:paraId="1FA89108" w14:textId="77777777" w:rsidR="003245F2" w:rsidRDefault="003245F2">
      <w:pPr>
        <w:spacing w:after="160" w:line="259" w:lineRule="auto"/>
        <w:rPr>
          <w:color w:val="FF0000"/>
        </w:rPr>
      </w:pPr>
    </w:p>
    <w:p w14:paraId="44BC866A" w14:textId="4D02077C" w:rsidR="00DC6534" w:rsidRPr="003553D2" w:rsidRDefault="003553D2" w:rsidP="00B93B44">
      <w:pPr>
        <w:pStyle w:val="Kop2"/>
        <w:rPr>
          <w:rFonts w:eastAsiaTheme="minorHAnsi"/>
        </w:rPr>
      </w:pPr>
      <w:bookmarkStart w:id="21" w:name="_Toc69995003"/>
      <w:r w:rsidRPr="003553D2">
        <w:rPr>
          <w:rFonts w:eastAsiaTheme="minorHAnsi"/>
        </w:rPr>
        <w:t xml:space="preserve">5.2. </w:t>
      </w:r>
      <w:r w:rsidR="003D0004" w:rsidRPr="003553D2">
        <w:rPr>
          <w:rFonts w:eastAsiaTheme="minorHAnsi"/>
        </w:rPr>
        <w:t>Ontwikkelingen leerlingen aantallen  (IDU=Instroom, Doorstroom, Uitstroom)</w:t>
      </w:r>
      <w:bookmarkEnd w:id="21"/>
      <w:r w:rsidR="003D0004" w:rsidRPr="003553D2">
        <w:rPr>
          <w:rFonts w:eastAsiaTheme="minorHAnsi"/>
        </w:rPr>
        <w:t>   </w:t>
      </w:r>
    </w:p>
    <w:p w14:paraId="0F7D5718" w14:textId="77777777" w:rsidR="00E27D56" w:rsidRDefault="00E27D56" w:rsidP="00DC6534"/>
    <w:p w14:paraId="5682EB3D" w14:textId="77777777" w:rsidR="00E27D56" w:rsidRPr="00E27D56" w:rsidRDefault="00E27D56" w:rsidP="00E27D56">
      <w:pPr>
        <w:keepNext/>
        <w:keepLines/>
        <w:spacing w:line="240" w:lineRule="auto"/>
        <w:outlineLvl w:val="1"/>
        <w:rPr>
          <w:rFonts w:eastAsiaTheme="majorEastAsia" w:cstheme="majorBidi"/>
          <w:color w:val="005B82"/>
          <w:sz w:val="24"/>
          <w:szCs w:val="26"/>
        </w:rPr>
      </w:pPr>
      <w:bookmarkStart w:id="22" w:name="_Toc69995004"/>
      <w:r>
        <w:rPr>
          <w:rFonts w:eastAsiaTheme="majorEastAsia" w:cstheme="majorBidi"/>
          <w:color w:val="005B82"/>
          <w:sz w:val="24"/>
          <w:szCs w:val="26"/>
        </w:rPr>
        <w:t>5.2.</w:t>
      </w:r>
      <w:r w:rsidR="003245F2">
        <w:rPr>
          <w:rFonts w:eastAsiaTheme="majorEastAsia" w:cstheme="majorBidi"/>
          <w:color w:val="005B82"/>
          <w:sz w:val="24"/>
          <w:szCs w:val="26"/>
        </w:rPr>
        <w:t>1</w:t>
      </w:r>
      <w:r>
        <w:rPr>
          <w:rFonts w:eastAsiaTheme="majorEastAsia" w:cstheme="majorBidi"/>
          <w:color w:val="005B82"/>
          <w:sz w:val="24"/>
          <w:szCs w:val="26"/>
        </w:rPr>
        <w:tab/>
      </w:r>
      <w:r w:rsidRPr="00E27D56">
        <w:rPr>
          <w:rFonts w:eastAsiaTheme="majorEastAsia" w:cstheme="majorBidi"/>
          <w:color w:val="005B82"/>
          <w:sz w:val="24"/>
          <w:szCs w:val="26"/>
        </w:rPr>
        <w:t>Analyse instroom van het aantal leerlingen op ICK</w:t>
      </w:r>
      <w:bookmarkEnd w:id="22"/>
    </w:p>
    <w:p w14:paraId="778773D9" w14:textId="00C12A03" w:rsidR="003245F2" w:rsidRDefault="003245F2" w:rsidP="003245F2">
      <w:r w:rsidRPr="00E27D56">
        <w:rPr>
          <w:iCs/>
        </w:rPr>
        <w:t xml:space="preserve">Voor Ichthus Kampen valt op basis van CBS-statistieken te verwachten dat de bevolkingspopulatie van 0-20 jarigen de komende vijf jaar jaarlijks met 0,8% zal dalen. </w:t>
      </w:r>
      <w:r w:rsidRPr="00E27D56">
        <w:t xml:space="preserve">Nadat het marktaandeel vorig cursusjaar bij de meeste basisscholen steeg, is nu duidelijk te zien dat het marktaandeel bij de meerderheid van de basisscholen is gedaald. Op dit moment is niet feitelijk te onderbouwen waar dit door komt. In onderstaande gaan we daar verder op in. </w:t>
      </w:r>
    </w:p>
    <w:p w14:paraId="2274533B" w14:textId="30B0610C" w:rsidR="00E27D56" w:rsidRDefault="00E27D56" w:rsidP="00E27D56"/>
    <w:p w14:paraId="7987CD8A" w14:textId="7671D8FA" w:rsidR="00192E42" w:rsidRPr="00192E42" w:rsidRDefault="00192E42" w:rsidP="00E27D56">
      <w:pPr>
        <w:rPr>
          <w:b/>
        </w:rPr>
      </w:pPr>
      <w:r w:rsidRPr="00192E42">
        <w:rPr>
          <w:b/>
        </w:rPr>
        <w:t>ICC</w:t>
      </w:r>
    </w:p>
    <w:p w14:paraId="77D906D1" w14:textId="4F98A0C4" w:rsidR="00724F6F" w:rsidRPr="00724F6F" w:rsidRDefault="00724F6F" w:rsidP="00724F6F">
      <w:r w:rsidRPr="00724F6F">
        <w:t xml:space="preserve">De gestage daling die de afgelopen jaren op de campus is ingezet lijkt tot stilstand te zijn gekomen. Er is een duidelijke groei in aanmeldingen ten opzichte van vorig schooljaar (226 t.o.v. 188), en er stromen ook meer leerlingen in dan dat de school vanuit het examenjaar verlaten. Dat betekent dat er in de formatie iets meer ruimte is dan afgelopen jaar. </w:t>
      </w:r>
    </w:p>
    <w:p w14:paraId="57C44AD8" w14:textId="751F6C8D" w:rsidR="00724F6F" w:rsidRPr="00724F6F" w:rsidRDefault="00724F6F" w:rsidP="00724F6F">
      <w:r w:rsidRPr="00724F6F">
        <w:t xml:space="preserve">De ontwikkelingen in de dakpanklassen lijken op het eerste gezicht hun vruchten af te werpen in wat volgend jaar klas 3 wordt. Dat leidt tot een grotere groep leerlingen op het VWO als ook in de Havo, door relatief veel opstromers. Mede door de afgelopen coronatijd lijkt de keuze voor dakpanklassen net op tijd te zijn gemaakt en kan dit ook in de komende voorlichtingsperiode goed ingezet worden. De verwachting is dan ook dat we </w:t>
      </w:r>
      <w:r>
        <w:t xml:space="preserve">de </w:t>
      </w:r>
      <w:r w:rsidRPr="00724F6F">
        <w:t>komende jaren ons marktaandeel gelijk</w:t>
      </w:r>
      <w:r>
        <w:t xml:space="preserve"> </w:t>
      </w:r>
      <w:r w:rsidRPr="00724F6F">
        <w:t xml:space="preserve">houden of verstevigen, mede door de vooruitzichten van vernieuwbouw. Dit biedt kansen voor de keuzevakken de komende jaren, hoewel we alert moeten blijven op de groepsgrootte en andere kaders uit paragraaf 3.1 om een en ander betaalbaar te houden. </w:t>
      </w:r>
    </w:p>
    <w:p w14:paraId="089DF47F" w14:textId="6E22AA8B" w:rsidR="00192E42" w:rsidRPr="00724F6F" w:rsidRDefault="00192E42" w:rsidP="00E27D56"/>
    <w:p w14:paraId="3FF151D0" w14:textId="77777777" w:rsidR="00192E42" w:rsidRPr="00E27D56" w:rsidRDefault="00192E42" w:rsidP="00E27D56"/>
    <w:p w14:paraId="258A530C" w14:textId="6F30AA88" w:rsidR="00441793" w:rsidRDefault="00192E42" w:rsidP="00E27D56">
      <w:pPr>
        <w:spacing w:after="5" w:line="298" w:lineRule="auto"/>
        <w:rPr>
          <w:rFonts w:eastAsia="Arial" w:cs="Arial"/>
          <w:b/>
          <w:szCs w:val="20"/>
          <w:lang w:eastAsia="nl-NL"/>
        </w:rPr>
      </w:pPr>
      <w:r>
        <w:rPr>
          <w:rFonts w:eastAsia="Arial" w:cs="Arial"/>
          <w:b/>
          <w:szCs w:val="20"/>
          <w:lang w:eastAsia="nl-NL"/>
        </w:rPr>
        <w:t>VIA</w:t>
      </w:r>
    </w:p>
    <w:p w14:paraId="6665CF30" w14:textId="5ECD07AC" w:rsidR="003D46A2" w:rsidRPr="00192E42" w:rsidRDefault="00192E42" w:rsidP="00192E42">
      <w:pPr>
        <w:rPr>
          <w:iCs/>
        </w:rPr>
      </w:pPr>
      <w:r w:rsidRPr="00192E42">
        <w:rPr>
          <w:iCs/>
        </w:rPr>
        <w:t>De uitstroom in schooljaar 20-21 bedraagt 92 leerlingen, terwijl wij voor schooljaar 21-22 een daling zien in de aanmeldingen (74). Dat betekent dat de school krimpt met 18 leerlingen ten opzichte van het huidige schooljaar. Wij vooronderstellen dat er een aantal zaken hierin een rol hebben gespeeld: het feit dat de basisscholen in Coronatijd ‘kansrijk’ hebben geadviseerd, het ontbreken van een deugdelijk digitaal open huis dit schooljaar en de heviger wordende concurrentie met het Almere College op de locatie VIA. De wens om geheel samen te gaan binnen deze locatie is wederom op de lange baan geschoven zodat wij hebben besloten m.i.v. schooljaar 21-22 weer een geheel eigen koers te gaan varen. Dit zal nog nader uitgewerkt moeten worden maar hierbij kan gedacht worden aan het open huis, activiteiten en publiciteit.</w:t>
      </w:r>
      <w:r w:rsidR="003D46A2" w:rsidRPr="00192E42">
        <w:rPr>
          <w:iCs/>
        </w:rPr>
        <w:br w:type="page"/>
      </w:r>
    </w:p>
    <w:p w14:paraId="46A0B812" w14:textId="23B80A09" w:rsidR="00E27D56" w:rsidRPr="00E058DD" w:rsidRDefault="00E27D56" w:rsidP="00E27D56">
      <w:pPr>
        <w:spacing w:after="5" w:line="298" w:lineRule="auto"/>
        <w:rPr>
          <w:rFonts w:eastAsia="Arial" w:cs="Arial"/>
          <w:b/>
          <w:szCs w:val="20"/>
          <w:lang w:eastAsia="nl-NL"/>
        </w:rPr>
      </w:pPr>
      <w:r w:rsidRPr="00E058DD">
        <w:rPr>
          <w:rFonts w:eastAsia="Arial" w:cs="Arial"/>
          <w:b/>
          <w:szCs w:val="20"/>
          <w:lang w:eastAsia="nl-NL"/>
        </w:rPr>
        <w:lastRenderedPageBreak/>
        <w:t>Tabel : Ontwikkeling leerlingenaantallen per leerjaar en aantal klassen</w:t>
      </w:r>
    </w:p>
    <w:p w14:paraId="1EC253AC" w14:textId="15A3CE29" w:rsidR="001D23AE" w:rsidRDefault="00BF5E33">
      <w:pPr>
        <w:spacing w:after="160" w:line="259" w:lineRule="auto"/>
        <w:rPr>
          <w:rFonts w:eastAsiaTheme="majorEastAsia" w:cstheme="majorBidi"/>
          <w:color w:val="005B82"/>
          <w:sz w:val="24"/>
          <w:szCs w:val="26"/>
        </w:rPr>
      </w:pPr>
      <w:r w:rsidRPr="00BF5E33">
        <w:rPr>
          <w:noProof/>
          <w:lang w:eastAsia="nl-NL"/>
        </w:rPr>
        <w:drawing>
          <wp:inline distT="0" distB="0" distL="0" distR="0" wp14:anchorId="13E466DF" wp14:editId="175AC671">
            <wp:extent cx="4678680" cy="8221361"/>
            <wp:effectExtent l="0" t="0" r="762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083" cy="8243156"/>
                    </a:xfrm>
                    <a:prstGeom prst="rect">
                      <a:avLst/>
                    </a:prstGeom>
                    <a:noFill/>
                    <a:ln>
                      <a:noFill/>
                    </a:ln>
                  </pic:spPr>
                </pic:pic>
              </a:graphicData>
            </a:graphic>
          </wp:inline>
        </w:drawing>
      </w:r>
    </w:p>
    <w:p w14:paraId="2010ABC1" w14:textId="2F350984" w:rsidR="003D46A2" w:rsidRDefault="003D46A2">
      <w:pPr>
        <w:spacing w:after="160" w:line="259" w:lineRule="auto"/>
        <w:rPr>
          <w:rFonts w:eastAsiaTheme="majorEastAsia" w:cstheme="majorBidi"/>
          <w:color w:val="005B82"/>
          <w:sz w:val="24"/>
          <w:szCs w:val="26"/>
        </w:rPr>
      </w:pPr>
      <w:r>
        <w:rPr>
          <w:rFonts w:eastAsiaTheme="majorEastAsia" w:cstheme="majorBidi"/>
          <w:color w:val="005B82"/>
          <w:sz w:val="24"/>
          <w:szCs w:val="26"/>
        </w:rPr>
        <w:br w:type="page"/>
      </w:r>
    </w:p>
    <w:p w14:paraId="20BAE166" w14:textId="77777777" w:rsidR="003245F2" w:rsidRDefault="003245F2" w:rsidP="00E27D56">
      <w:pPr>
        <w:keepNext/>
        <w:keepLines/>
        <w:spacing w:line="240" w:lineRule="auto"/>
        <w:outlineLvl w:val="1"/>
        <w:rPr>
          <w:rFonts w:eastAsiaTheme="majorEastAsia" w:cstheme="majorBidi"/>
          <w:color w:val="005B82"/>
          <w:sz w:val="24"/>
          <w:szCs w:val="26"/>
        </w:rPr>
      </w:pPr>
    </w:p>
    <w:p w14:paraId="5318C2B2" w14:textId="33441505" w:rsidR="003D6041" w:rsidRDefault="00E27D56" w:rsidP="00E27D56">
      <w:pPr>
        <w:keepNext/>
        <w:keepLines/>
        <w:spacing w:line="240" w:lineRule="auto"/>
        <w:outlineLvl w:val="1"/>
        <w:rPr>
          <w:rFonts w:eastAsiaTheme="majorEastAsia" w:cstheme="majorBidi"/>
          <w:color w:val="FF0000"/>
          <w:sz w:val="24"/>
          <w:szCs w:val="26"/>
        </w:rPr>
      </w:pPr>
      <w:bookmarkStart w:id="23" w:name="_Toc69995005"/>
      <w:r w:rsidRPr="007760E0">
        <w:rPr>
          <w:rFonts w:eastAsiaTheme="majorEastAsia" w:cstheme="majorBidi"/>
          <w:color w:val="005B82"/>
          <w:sz w:val="24"/>
          <w:szCs w:val="26"/>
        </w:rPr>
        <w:t>5.2.</w:t>
      </w:r>
      <w:r w:rsidR="003245F2" w:rsidRPr="007760E0">
        <w:rPr>
          <w:rFonts w:eastAsiaTheme="majorEastAsia" w:cstheme="majorBidi"/>
          <w:color w:val="005B82"/>
          <w:sz w:val="24"/>
          <w:szCs w:val="26"/>
        </w:rPr>
        <w:t>2</w:t>
      </w:r>
      <w:r w:rsidRPr="007760E0">
        <w:rPr>
          <w:rFonts w:eastAsiaTheme="majorEastAsia" w:cstheme="majorBidi"/>
          <w:color w:val="005B82"/>
          <w:sz w:val="24"/>
          <w:szCs w:val="26"/>
        </w:rPr>
        <w:tab/>
        <w:t>Analyse instroom van het aantal leerlingen op ICD</w:t>
      </w:r>
      <w:bookmarkEnd w:id="23"/>
    </w:p>
    <w:p w14:paraId="1F21B12C" w14:textId="77777777" w:rsidR="003D6041" w:rsidRDefault="003D6041" w:rsidP="003D6041"/>
    <w:p w14:paraId="206A7910" w14:textId="6F3A0012" w:rsidR="003D6041" w:rsidRDefault="003D6041" w:rsidP="003D6041">
      <w:r>
        <w:t>Voor Ichthus Dronten geldt dat er sprake is van een behoorlijke groei van het aantal leerlingen, school breed. Dat is voor een deel te verklaren door te kijken naar het aantal leerlingen op de basisscholen, wat stabiel tot licht stijgend is de komende jaren. Daarnaast hebben onze wervings-, PR- en communicatie activiteiten er voor gezorgd dat meer leerlingen voor Ichthus hebben gekozen. Daar zijn wij, na jaren van daling, uiteraard heel blij mee. Een en ander betekent dat wij ons bewust moeten zijn en blijven dat wij continue werk hebben te maken van onze kwaliteit, waarmee wij onze school goed kunnen presenteren.</w:t>
      </w:r>
    </w:p>
    <w:p w14:paraId="52EF3668" w14:textId="47F765BF" w:rsidR="003D6041" w:rsidRDefault="003D6041" w:rsidP="003D6041">
      <w:r>
        <w:t>Voorts geeft de voorgenomen uitbreiding van Dronten een positief toekomstbeeld voor onze school, waarbij opgemerkt dat leerlingen niet vanzelf komen.</w:t>
      </w:r>
    </w:p>
    <w:p w14:paraId="790721FC" w14:textId="77777777" w:rsidR="003D6041" w:rsidRPr="00276133" w:rsidRDefault="003D6041" w:rsidP="003D6041">
      <w:pPr>
        <w:rPr>
          <w:rFonts w:eastAsiaTheme="majorEastAsia" w:cstheme="majorBidi"/>
          <w:color w:val="FF0000"/>
          <w:sz w:val="24"/>
          <w:szCs w:val="26"/>
        </w:rPr>
      </w:pPr>
    </w:p>
    <w:p w14:paraId="33B4CD84" w14:textId="77777777" w:rsidR="00E27D56" w:rsidRPr="00D30ECF" w:rsidRDefault="00E27D56" w:rsidP="00E27D56">
      <w:pPr>
        <w:spacing w:after="5" w:line="298" w:lineRule="auto"/>
        <w:rPr>
          <w:rFonts w:eastAsia="Arial" w:cs="Arial"/>
          <w:b/>
          <w:szCs w:val="20"/>
          <w:lang w:eastAsia="nl-NL"/>
        </w:rPr>
      </w:pPr>
      <w:r w:rsidRPr="00D30ECF">
        <w:rPr>
          <w:rFonts w:eastAsia="Arial" w:cs="Arial"/>
          <w:b/>
          <w:szCs w:val="20"/>
          <w:lang w:eastAsia="nl-NL"/>
        </w:rPr>
        <w:t>Tabel : Ontwikkeling leerlingenaantallen per leerjaar en aantal klassen</w:t>
      </w:r>
    </w:p>
    <w:p w14:paraId="3A3D08CF" w14:textId="77777777" w:rsidR="00D30ECF" w:rsidRDefault="00D30ECF" w:rsidP="00E27D56">
      <w:pPr>
        <w:spacing w:after="5" w:line="298" w:lineRule="auto"/>
        <w:rPr>
          <w:rFonts w:eastAsia="Arial" w:cs="Arial"/>
          <w:b/>
          <w:color w:val="FF0000"/>
          <w:szCs w:val="20"/>
          <w:lang w:eastAsia="nl-NL"/>
        </w:rPr>
      </w:pPr>
    </w:p>
    <w:p w14:paraId="5287CE75" w14:textId="48C6A8C5" w:rsidR="003245F2" w:rsidRDefault="00B747FB">
      <w:pPr>
        <w:spacing w:after="160" w:line="259" w:lineRule="auto"/>
      </w:pPr>
      <w:r w:rsidRPr="00B747FB">
        <w:rPr>
          <w:noProof/>
          <w:lang w:eastAsia="nl-NL"/>
        </w:rPr>
        <w:drawing>
          <wp:inline distT="0" distB="0" distL="0" distR="0" wp14:anchorId="296A54A5" wp14:editId="745F4B9C">
            <wp:extent cx="5335555" cy="62636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9801" cy="6292104"/>
                    </a:xfrm>
                    <a:prstGeom prst="rect">
                      <a:avLst/>
                    </a:prstGeom>
                    <a:noFill/>
                    <a:ln>
                      <a:noFill/>
                    </a:ln>
                  </pic:spPr>
                </pic:pic>
              </a:graphicData>
            </a:graphic>
          </wp:inline>
        </w:drawing>
      </w:r>
    </w:p>
    <w:p w14:paraId="2FEE9047" w14:textId="771F5AAF" w:rsidR="00E27D56" w:rsidRPr="007760E0" w:rsidRDefault="007760E0" w:rsidP="007760E0">
      <w:pPr>
        <w:pStyle w:val="Kop2"/>
        <w:rPr>
          <w:rFonts w:eastAsiaTheme="minorHAnsi"/>
        </w:rPr>
      </w:pPr>
      <w:bookmarkStart w:id="24" w:name="_Toc69995006"/>
      <w:r>
        <w:rPr>
          <w:rFonts w:eastAsiaTheme="minorHAnsi"/>
        </w:rPr>
        <w:lastRenderedPageBreak/>
        <w:t xml:space="preserve">5.3 </w:t>
      </w:r>
      <w:r w:rsidR="003D0004" w:rsidRPr="007760E0">
        <w:rPr>
          <w:rFonts w:eastAsiaTheme="minorHAnsi"/>
        </w:rPr>
        <w:t>Risico’s &amp; aandachtspunten</w:t>
      </w:r>
      <w:bookmarkEnd w:id="24"/>
    </w:p>
    <w:p w14:paraId="6E21B2CE" w14:textId="77777777" w:rsidR="00E27D56" w:rsidRDefault="00E27D56" w:rsidP="00E27D56">
      <w:pPr>
        <w:pStyle w:val="Kop2"/>
      </w:pPr>
    </w:p>
    <w:p w14:paraId="22958637" w14:textId="77777777" w:rsidR="00E27D56" w:rsidRPr="00E27D56" w:rsidRDefault="00E27D56" w:rsidP="00E27D56">
      <w:pPr>
        <w:spacing w:after="160" w:line="259" w:lineRule="auto"/>
      </w:pPr>
      <w:r w:rsidRPr="00E27D56">
        <w:t xml:space="preserve">Als het formatieplan is geschreven, zijn de kaders van de formatie bekend, maar is het formatieproces nog niet afgerond. In de formatie wordt gewerkt met prognoses, de definitieve getallen zijn pas eind juni bekend. In deze paragraaf wordt een aantal aandachtspunten en mogelijke risico’s benoemd. Het is belangrijk deze in beeld te hebben, zodat er tijdig kan worden gehandeld om binnen de kaders te blijven. </w:t>
      </w:r>
    </w:p>
    <w:p w14:paraId="4CC4BB7A" w14:textId="77777777" w:rsidR="00E27D56" w:rsidRPr="00E27D56" w:rsidRDefault="00E27D56" w:rsidP="00E27D56">
      <w:pPr>
        <w:spacing w:after="160" w:line="259" w:lineRule="auto"/>
        <w:ind w:left="284" w:hanging="284"/>
      </w:pPr>
      <w:r w:rsidRPr="00E27D56">
        <w:t>-</w:t>
      </w:r>
      <w:r w:rsidRPr="00E27D56">
        <w:tab/>
        <w:t xml:space="preserve">In het Perron en op VIA werken we samen met het Almere College (AC). Het ICK ontvangt van het AC een netto vergoeding voor de inzet van docenten. In Dronten is dit precies andersom. </w:t>
      </w:r>
      <w:r w:rsidR="00A92BEF">
        <w:t>De inzet wordt achteraf vastgesteld en verrekend.</w:t>
      </w:r>
    </w:p>
    <w:p w14:paraId="325905C5" w14:textId="77777777" w:rsidR="00E27D56" w:rsidRPr="00E27D56" w:rsidRDefault="00E27D56" w:rsidP="00E27D56">
      <w:pPr>
        <w:spacing w:after="160" w:line="259" w:lineRule="auto"/>
        <w:ind w:left="284" w:hanging="284"/>
      </w:pPr>
      <w:r w:rsidRPr="00E27D56">
        <w:t>-</w:t>
      </w:r>
      <w:r w:rsidRPr="00E27D56">
        <w:tab/>
        <w:t>Binnen beide eenheden is een aantal bovenschoolse taken met een forse omvang, namelijk de inzet voor de GMR en ICT-coördinatie. We hebben afgesproken om het budget voor deze taken evenredig te verdelen over de teams. Voor wat betreft de omvang van de medezeggenschapstaken houden we ons aan de CAO-VO.</w:t>
      </w:r>
    </w:p>
    <w:p w14:paraId="1C3F373A" w14:textId="77777777" w:rsidR="00E27D56" w:rsidRPr="007760E0" w:rsidRDefault="00E27D56" w:rsidP="00E27D56">
      <w:pPr>
        <w:spacing w:after="160" w:line="259" w:lineRule="auto"/>
        <w:ind w:left="284" w:hanging="284"/>
      </w:pPr>
      <w:r w:rsidRPr="007760E0">
        <w:t>-</w:t>
      </w:r>
      <w:r w:rsidRPr="007760E0">
        <w:tab/>
        <w:t>Op het VIA bieden we ook beroepsonderwijs aan op MBO-niveau</w:t>
      </w:r>
      <w:r w:rsidR="0030220A" w:rsidRPr="007760E0">
        <w:t>, dit wordt vergoed door Landstede MBO</w:t>
      </w:r>
      <w:r w:rsidRPr="007760E0">
        <w:t xml:space="preserve">. </w:t>
      </w:r>
    </w:p>
    <w:p w14:paraId="40366BAF" w14:textId="77777777" w:rsidR="00E27D56" w:rsidRPr="007760E0" w:rsidRDefault="00E27D56" w:rsidP="00E27D56">
      <w:pPr>
        <w:spacing w:after="160" w:line="259" w:lineRule="auto"/>
        <w:ind w:left="284" w:hanging="284"/>
      </w:pPr>
      <w:r w:rsidRPr="007760E0">
        <w:t>-</w:t>
      </w:r>
      <w:r w:rsidRPr="007760E0">
        <w:tab/>
        <w:t>Als nieuwe medewerkers in dienst komen bij de stichting voor een project dat gefinancierd wordt met incidentele middelen, dan wordt hen een tijdelijk dienstverband aangeboden voor de duur van het project.</w:t>
      </w:r>
      <w:r w:rsidR="0030220A" w:rsidRPr="007760E0">
        <w:t xml:space="preserve"> Als gevolg van de vele subsidies op dit moment, ontstaat het risico dat bij het wegvallen van deze gelden teveel vaste verplichtingen zijn aangegaan. De tijdelijke schil is dan mogelijk te gering om in te spelen op formatiefricties.</w:t>
      </w:r>
    </w:p>
    <w:p w14:paraId="02970354" w14:textId="1B4E8876" w:rsidR="0025373E" w:rsidRPr="0025373E" w:rsidRDefault="00E27D56" w:rsidP="0025373E">
      <w:pPr>
        <w:spacing w:after="160" w:line="259" w:lineRule="auto"/>
        <w:ind w:left="284" w:hanging="284"/>
      </w:pPr>
      <w:r w:rsidRPr="007760E0">
        <w:t>-</w:t>
      </w:r>
      <w:r w:rsidR="0025373E">
        <w:tab/>
      </w:r>
      <w:r w:rsidR="0025373E" w:rsidRPr="007760E0">
        <w:t xml:space="preserve">In </w:t>
      </w:r>
      <w:r w:rsidR="0025373E">
        <w:t xml:space="preserve">de begroting van de stichting Ichthus College </w:t>
      </w:r>
      <w:r w:rsidR="0025373E" w:rsidRPr="007760E0">
        <w:t>is rekening gehouden met 1 fte directie</w:t>
      </w:r>
      <w:r w:rsidR="0025373E">
        <w:t xml:space="preserve"> extra in de centrale personeelskosten. D</w:t>
      </w:r>
      <w:r w:rsidR="0025373E">
        <w:t>e</w:t>
      </w:r>
      <w:r w:rsidR="0025373E">
        <w:t>ze</w:t>
      </w:r>
      <w:r w:rsidR="0025373E">
        <w:t xml:space="preserve"> kosten </w:t>
      </w:r>
      <w:r w:rsidR="0025373E">
        <w:t xml:space="preserve">gaan </w:t>
      </w:r>
      <w:r w:rsidR="0025373E">
        <w:t xml:space="preserve">niet ten koste van de formatieve inzet binnen de </w:t>
      </w:r>
      <w:r w:rsidR="0025373E">
        <w:t>eenheden</w:t>
      </w:r>
      <w:r w:rsidR="0025373E">
        <w:t>.</w:t>
      </w:r>
    </w:p>
    <w:p w14:paraId="3312F016" w14:textId="432A8729" w:rsidR="00E27D56" w:rsidRPr="007760E0" w:rsidRDefault="0025373E" w:rsidP="0025373E">
      <w:pPr>
        <w:spacing w:after="160" w:line="259" w:lineRule="auto"/>
        <w:ind w:left="284" w:hanging="284"/>
      </w:pPr>
      <w:r>
        <w:t xml:space="preserve">- </w:t>
      </w:r>
      <w:r>
        <w:tab/>
      </w:r>
      <w:r w:rsidR="00E27D56" w:rsidRPr="007760E0">
        <w:t xml:space="preserve">De huidige prognose waarmee is gerekend in het formatieplan, is gebaseerd op de reguliere overgangsnormen. De coronacrisis maakt dat de overgang in een ander daglicht is komen te staan. Aanpassing van de overgangsnormen kan een risico vormen voor het realiseren van de beoogde financiële doelstellingen. </w:t>
      </w:r>
    </w:p>
    <w:p w14:paraId="78913A2F" w14:textId="77777777" w:rsidR="00C251A1" w:rsidRPr="007760E0" w:rsidRDefault="00C251A1" w:rsidP="00E27D56">
      <w:pPr>
        <w:spacing w:after="160" w:line="259" w:lineRule="auto"/>
        <w:ind w:left="284" w:hanging="284"/>
      </w:pPr>
      <w:r w:rsidRPr="007760E0">
        <w:t>-</w:t>
      </w:r>
      <w:r w:rsidRPr="007760E0">
        <w:tab/>
        <w:t>Door de effecten van COVID op het onderwijsleerproces is de uitstroom in hogere leerjaren mogelijk groter dan geprognosticeerd,</w:t>
      </w:r>
    </w:p>
    <w:p w14:paraId="767204C6" w14:textId="77777777" w:rsidR="00E27D56" w:rsidRPr="007760E0" w:rsidRDefault="00E27D56" w:rsidP="00E27D56">
      <w:pPr>
        <w:spacing w:after="160" w:line="259" w:lineRule="auto"/>
        <w:ind w:left="284" w:hanging="284"/>
      </w:pPr>
      <w:r w:rsidRPr="007760E0">
        <w:t>-</w:t>
      </w:r>
      <w:r w:rsidRPr="007760E0">
        <w:tab/>
        <w:t xml:space="preserve">We </w:t>
      </w:r>
      <w:r w:rsidR="00F84270" w:rsidRPr="007760E0">
        <w:t xml:space="preserve">krijgen geen </w:t>
      </w:r>
      <w:r w:rsidRPr="007760E0">
        <w:t>extra middelen vanuit he</w:t>
      </w:r>
      <w:r w:rsidR="0030220A" w:rsidRPr="007760E0">
        <w:t>t SWV voor de Rebound in Kampen dit zet druk op onze ondersteuningsstructuur</w:t>
      </w:r>
      <w:r w:rsidRPr="007760E0">
        <w:t xml:space="preserve"> </w:t>
      </w:r>
    </w:p>
    <w:p w14:paraId="29D9E520" w14:textId="2FAFC217" w:rsidR="007760E0" w:rsidRDefault="007760E0">
      <w:pPr>
        <w:spacing w:after="160" w:line="259" w:lineRule="auto"/>
        <w:rPr>
          <w:rFonts w:eastAsiaTheme="majorEastAsia" w:cstheme="majorBidi"/>
          <w:b/>
          <w:color w:val="005B82"/>
          <w:sz w:val="24"/>
          <w:szCs w:val="26"/>
        </w:rPr>
      </w:pPr>
      <w:r>
        <w:rPr>
          <w:rFonts w:eastAsiaTheme="majorEastAsia" w:cstheme="majorBidi"/>
          <w:b/>
          <w:color w:val="005B82"/>
          <w:sz w:val="24"/>
          <w:szCs w:val="26"/>
        </w:rPr>
        <w:br w:type="page"/>
      </w:r>
    </w:p>
    <w:p w14:paraId="49CF44AA" w14:textId="632ACBF3" w:rsidR="007760E0" w:rsidRDefault="007760E0" w:rsidP="007760E0">
      <w:pPr>
        <w:pStyle w:val="Kop2"/>
        <w:numPr>
          <w:ilvl w:val="1"/>
          <w:numId w:val="29"/>
        </w:numPr>
      </w:pPr>
      <w:r>
        <w:lastRenderedPageBreak/>
        <w:t xml:space="preserve"> </w:t>
      </w:r>
      <w:bookmarkStart w:id="25" w:name="_Toc69995007"/>
      <w:r w:rsidRPr="00CF02F3">
        <w:t>Voorziene natuurlijke uitstroom</w:t>
      </w:r>
      <w:bookmarkEnd w:id="25"/>
      <w:r w:rsidRPr="00CF02F3">
        <w:t> </w:t>
      </w:r>
    </w:p>
    <w:p w14:paraId="2F8A0880" w14:textId="2242E6B8" w:rsidR="007760E0" w:rsidRDefault="007760E0" w:rsidP="007760E0">
      <w:pPr>
        <w:spacing w:after="160" w:line="259" w:lineRule="auto"/>
      </w:pPr>
      <w:r>
        <w:t>Dit betreft de</w:t>
      </w:r>
      <w:r w:rsidRPr="00C251A1">
        <w:t xml:space="preserve"> verwachte uitstroom als gevolg van het bereiken van de AOW gerechtigde leeftijd. Het werkelijk moment </w:t>
      </w:r>
      <w:r w:rsidRPr="007C3808">
        <w:t xml:space="preserve">van uitstroom is afhankelijk van de persoonlijke situatie van de werknemer en het eventuele gespaarde verlof. </w:t>
      </w:r>
      <w:r>
        <w:t>Zie onderstaande tabel.</w:t>
      </w:r>
    </w:p>
    <w:p w14:paraId="7B99F609" w14:textId="761D2A4F" w:rsidR="007760E0" w:rsidRDefault="007760E0" w:rsidP="007760E0">
      <w:pPr>
        <w:spacing w:after="160" w:line="259" w:lineRule="auto"/>
      </w:pPr>
      <w:r w:rsidRPr="007760E0">
        <w:rPr>
          <w:noProof/>
          <w:lang w:eastAsia="nl-NL"/>
        </w:rPr>
        <w:drawing>
          <wp:inline distT="0" distB="0" distL="0" distR="0" wp14:anchorId="33561C6B" wp14:editId="3F5616D5">
            <wp:extent cx="2110740" cy="2810434"/>
            <wp:effectExtent l="0" t="0" r="381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9411" cy="2821979"/>
                    </a:xfrm>
                    <a:prstGeom prst="rect">
                      <a:avLst/>
                    </a:prstGeom>
                    <a:noFill/>
                    <a:ln>
                      <a:noFill/>
                    </a:ln>
                  </pic:spPr>
                </pic:pic>
              </a:graphicData>
            </a:graphic>
          </wp:inline>
        </w:drawing>
      </w:r>
    </w:p>
    <w:p w14:paraId="1892F54C" w14:textId="77777777" w:rsidR="007760E0" w:rsidRPr="00CF02F3" w:rsidRDefault="007760E0" w:rsidP="007760E0">
      <w:pPr>
        <w:pStyle w:val="Kop2"/>
      </w:pPr>
      <w:r w:rsidRPr="00CF02F3">
        <w:t xml:space="preserve">   </w:t>
      </w:r>
    </w:p>
    <w:p w14:paraId="58D9190F" w14:textId="59D746E5" w:rsidR="007760E0" w:rsidRDefault="007760E0" w:rsidP="007760E0">
      <w:pPr>
        <w:pStyle w:val="Kop2"/>
        <w:numPr>
          <w:ilvl w:val="1"/>
          <w:numId w:val="29"/>
        </w:numPr>
      </w:pPr>
      <w:r>
        <w:t xml:space="preserve"> </w:t>
      </w:r>
      <w:bookmarkStart w:id="26" w:name="_Toc69995008"/>
      <w:r w:rsidRPr="00CF02F3">
        <w:t>Voorziene uitstroom OOP</w:t>
      </w:r>
      <w:bookmarkEnd w:id="26"/>
    </w:p>
    <w:p w14:paraId="1BA333FC" w14:textId="7B1ABF89" w:rsidR="007760E0" w:rsidRPr="00515A97" w:rsidRDefault="00F60056" w:rsidP="007760E0">
      <w:pPr>
        <w:spacing w:after="160" w:line="259" w:lineRule="auto"/>
      </w:pPr>
      <w:r>
        <w:t>Voor extra uitstroom naast de natuurlijke uitstroom is voor schooljaar 2021-</w:t>
      </w:r>
      <w:r w:rsidR="007760E0">
        <w:t xml:space="preserve">2022 op dit moment niets bekend. </w:t>
      </w:r>
    </w:p>
    <w:p w14:paraId="5F0E14B9" w14:textId="77777777" w:rsidR="007760E0" w:rsidRDefault="007760E0" w:rsidP="007760E0">
      <w:pPr>
        <w:pStyle w:val="Kop2"/>
      </w:pPr>
      <w:r w:rsidRPr="00CF02F3">
        <w:t xml:space="preserve">       </w:t>
      </w:r>
    </w:p>
    <w:p w14:paraId="3A3DF6AB" w14:textId="5E44FF0D" w:rsidR="007760E0" w:rsidRDefault="007760E0" w:rsidP="007760E0">
      <w:pPr>
        <w:pStyle w:val="Kop2"/>
        <w:numPr>
          <w:ilvl w:val="1"/>
          <w:numId w:val="29"/>
        </w:numPr>
      </w:pPr>
      <w:r>
        <w:t xml:space="preserve"> </w:t>
      </w:r>
      <w:bookmarkStart w:id="27" w:name="_Toc69995009"/>
      <w:r w:rsidRPr="00CF02F3">
        <w:t>Voorziene uitstroom docenten</w:t>
      </w:r>
      <w:bookmarkEnd w:id="27"/>
      <w:r w:rsidRPr="00CF02F3">
        <w:t> </w:t>
      </w:r>
    </w:p>
    <w:p w14:paraId="0410A5DD" w14:textId="77777777" w:rsidR="00F60056" w:rsidRPr="00515A97" w:rsidRDefault="00F60056" w:rsidP="00F60056">
      <w:pPr>
        <w:spacing w:after="160" w:line="259" w:lineRule="auto"/>
      </w:pPr>
      <w:r>
        <w:t xml:space="preserve">Voor extra uitstroom naast de natuurlijke uitstroom is voor schooljaar 2021-2022 op dit moment niets bekend. </w:t>
      </w:r>
    </w:p>
    <w:p w14:paraId="2E2CCF28" w14:textId="77777777" w:rsidR="007760E0" w:rsidRPr="0092635C" w:rsidRDefault="007760E0" w:rsidP="007760E0">
      <w:pPr>
        <w:pStyle w:val="Lijstalinea"/>
        <w:ind w:left="0"/>
        <w:rPr>
          <w:strike/>
          <w:color w:val="FF0000"/>
        </w:rPr>
      </w:pPr>
    </w:p>
    <w:p w14:paraId="0814047B" w14:textId="77777777" w:rsidR="007760E0" w:rsidRPr="00CF02F3" w:rsidRDefault="007760E0" w:rsidP="007760E0">
      <w:pPr>
        <w:pStyle w:val="Kop2"/>
      </w:pPr>
      <w:r w:rsidRPr="00CF02F3">
        <w:t xml:space="preserve"> </w:t>
      </w:r>
    </w:p>
    <w:p w14:paraId="02FC9916" w14:textId="278739BC" w:rsidR="007760E0" w:rsidRDefault="007760E0" w:rsidP="007760E0">
      <w:pPr>
        <w:pStyle w:val="Kop2"/>
        <w:numPr>
          <w:ilvl w:val="1"/>
          <w:numId w:val="29"/>
        </w:numPr>
      </w:pPr>
      <w:r>
        <w:t xml:space="preserve"> </w:t>
      </w:r>
      <w:bookmarkStart w:id="28" w:name="_Toc69995010"/>
      <w:r w:rsidRPr="00CF02F3">
        <w:t>Benchmark OOP Stichting</w:t>
      </w:r>
      <w:bookmarkEnd w:id="28"/>
      <w:r w:rsidRPr="00CF02F3">
        <w:t>    </w:t>
      </w:r>
    </w:p>
    <w:p w14:paraId="4B53D9CE" w14:textId="77777777" w:rsidR="007760E0" w:rsidRPr="00E3556B" w:rsidRDefault="007760E0" w:rsidP="007760E0">
      <w:pPr>
        <w:spacing w:after="160" w:line="259" w:lineRule="auto"/>
      </w:pPr>
      <w:r w:rsidRPr="00E3556B">
        <w:t xml:space="preserve">Landstede Groep gebruikt de benchmark van de VO-raad (2017) als kader voor de omvang van de onderwijsondersteunend dienst binnen de stichting/eenheid. In de benchmark wordt per functiecategorie aangegeven wat de gemiddelde inzet voor de onderwijsondersteunende taken binnen de VO-scholen zou moeten zijn, namelijk 21,1%. </w:t>
      </w:r>
    </w:p>
    <w:p w14:paraId="6AD7814F" w14:textId="77777777" w:rsidR="007760E0" w:rsidRPr="00E3556B" w:rsidRDefault="007760E0" w:rsidP="007760E0">
      <w:pPr>
        <w:spacing w:after="160" w:line="259" w:lineRule="auto"/>
      </w:pPr>
      <w:r w:rsidRPr="00E3556B">
        <w:t>Landstede Groep werkt met een dienstencentrum. Binnen het dienstencentrum werken ook mensen voor de scholen. Om met de benchmark van de VO-raad te kunnen rekenen, wordt de formatie van de service dienst bij de opzet van de formatie betrokken. Het Ichthus College heeft de beoogde streefformatie van de benchmark bereikt, d.w.z. dat de verhouding van het aantal OOP functies (fte’s) t.o.v. OP functies vergelijkbaar is met de andere scholen binnen Nederland. Dit betekent echter niet dat de samenstelling van de huidige OOP functies past bij de inzet voor werkzaamheden die moeten worden verricht.</w:t>
      </w:r>
    </w:p>
    <w:p w14:paraId="6888ACDB" w14:textId="77777777" w:rsidR="007760E0" w:rsidRPr="00E3556B" w:rsidRDefault="007760E0" w:rsidP="007760E0">
      <w:pPr>
        <w:spacing w:after="160" w:line="259" w:lineRule="auto"/>
      </w:pPr>
      <w:r w:rsidRPr="00E3556B">
        <w:t xml:space="preserve">Door de natuurlijke uitstroom van zittende medewerkers doen zich mogelijkheden voor om de beoogde streefformatie relatief snel te bereiken. </w:t>
      </w:r>
    </w:p>
    <w:p w14:paraId="1A39794C" w14:textId="77777777" w:rsidR="00D64D88" w:rsidRDefault="00D64D88">
      <w:pPr>
        <w:spacing w:after="160" w:line="259" w:lineRule="auto"/>
      </w:pPr>
      <w:r>
        <w:br w:type="page"/>
      </w:r>
    </w:p>
    <w:p w14:paraId="7412B272" w14:textId="6F79442E" w:rsidR="006540D3" w:rsidRPr="00E3556B" w:rsidRDefault="007760E0" w:rsidP="00F60056">
      <w:pPr>
        <w:spacing w:after="160" w:line="259" w:lineRule="auto"/>
      </w:pPr>
      <w:r w:rsidRPr="00E3556B">
        <w:lastRenderedPageBreak/>
        <w:t xml:space="preserve">Hieronder is een tabel opgenomen waarin </w:t>
      </w:r>
      <w:r w:rsidR="006041A9" w:rsidRPr="00E3556B">
        <w:t>de functiecategorieën van de</w:t>
      </w:r>
      <w:r w:rsidRPr="00E3556B">
        <w:t xml:space="preserve"> benchmark</w:t>
      </w:r>
      <w:r w:rsidR="006041A9" w:rsidRPr="00E3556B">
        <w:t xml:space="preserve"> zichtbaar worden. (zie ook de bijlage voor de functies)</w:t>
      </w:r>
    </w:p>
    <w:p w14:paraId="5378B09C" w14:textId="77777777" w:rsidR="00D64D88" w:rsidRDefault="00F556D3">
      <w:pPr>
        <w:spacing w:after="160" w:line="259" w:lineRule="auto"/>
        <w:rPr>
          <w:i/>
        </w:rPr>
      </w:pPr>
      <w:r w:rsidRPr="00FA6414">
        <w:rPr>
          <w:i/>
        </w:rPr>
        <w:t xml:space="preserve">Tabel </w:t>
      </w:r>
    </w:p>
    <w:p w14:paraId="47836300" w14:textId="77777777" w:rsidR="00D64D88" w:rsidRDefault="00D64D88">
      <w:pPr>
        <w:spacing w:after="160" w:line="259" w:lineRule="auto"/>
        <w:rPr>
          <w:rFonts w:eastAsiaTheme="majorEastAsia" w:cstheme="majorBidi"/>
          <w:b/>
          <w:i/>
          <w:color w:val="005B82"/>
          <w:sz w:val="24"/>
          <w:szCs w:val="26"/>
        </w:rPr>
      </w:pPr>
      <w:r>
        <w:rPr>
          <w:rFonts w:eastAsiaTheme="majorEastAsia" w:cstheme="majorBidi"/>
          <w:b/>
          <w:i/>
          <w:noProof/>
          <w:color w:val="005B82"/>
          <w:sz w:val="24"/>
          <w:szCs w:val="26"/>
        </w:rPr>
        <w:drawing>
          <wp:inline distT="0" distB="0" distL="0" distR="0" wp14:anchorId="7D343288" wp14:editId="56603FEE">
            <wp:extent cx="5333365" cy="2618740"/>
            <wp:effectExtent l="0" t="0" r="63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3365" cy="2618740"/>
                    </a:xfrm>
                    <a:prstGeom prst="rect">
                      <a:avLst/>
                    </a:prstGeom>
                    <a:noFill/>
                  </pic:spPr>
                </pic:pic>
              </a:graphicData>
            </a:graphic>
          </wp:inline>
        </w:drawing>
      </w:r>
    </w:p>
    <w:p w14:paraId="5F197FB0" w14:textId="77777777" w:rsidR="00D64D88" w:rsidRDefault="00D64D88" w:rsidP="00D64D88">
      <w:pPr>
        <w:rPr>
          <w:rFonts w:ascii="Calibri" w:hAnsi="Calibri"/>
        </w:rPr>
      </w:pPr>
      <w:r>
        <w:t>Opmerkingen bij de tabel:</w:t>
      </w:r>
    </w:p>
    <w:p w14:paraId="70446744" w14:textId="77777777" w:rsidR="00D64D88" w:rsidRDefault="00D64D88" w:rsidP="00D64D88">
      <w:pPr>
        <w:numPr>
          <w:ilvl w:val="0"/>
          <w:numId w:val="34"/>
        </w:numPr>
        <w:spacing w:line="240" w:lineRule="auto"/>
        <w:rPr>
          <w:rFonts w:eastAsia="Times New Roman"/>
        </w:rPr>
      </w:pPr>
      <w:r>
        <w:rPr>
          <w:rFonts w:eastAsia="Times New Roman"/>
        </w:rPr>
        <w:t xml:space="preserve">De kolom formatieplan 21-22 laat zien dat er ontwikkeling en beweging is in en tussen de diverse categorieën </w:t>
      </w:r>
    </w:p>
    <w:p w14:paraId="0B3A7DDD" w14:textId="77777777" w:rsidR="00D64D88" w:rsidRDefault="00D64D88" w:rsidP="00D64D88">
      <w:pPr>
        <w:numPr>
          <w:ilvl w:val="0"/>
          <w:numId w:val="34"/>
        </w:numPr>
        <w:spacing w:line="240" w:lineRule="auto"/>
        <w:rPr>
          <w:rFonts w:eastAsia="Times New Roman"/>
        </w:rPr>
      </w:pPr>
      <w:r>
        <w:rPr>
          <w:rFonts w:eastAsia="Times New Roman"/>
        </w:rPr>
        <w:t>Het verschil van de kolom formatieplan 21-22 met de kolom begroting 2021 per augustus heeft te maken met lagere inzet vanwege a.s. pensioen/minder werken</w:t>
      </w:r>
    </w:p>
    <w:p w14:paraId="5DFB38F6" w14:textId="77777777" w:rsidR="00D64D88" w:rsidRDefault="00D64D88" w:rsidP="00D64D88">
      <w:pPr>
        <w:numPr>
          <w:ilvl w:val="0"/>
          <w:numId w:val="34"/>
        </w:numPr>
        <w:spacing w:line="240" w:lineRule="auto"/>
        <w:rPr>
          <w:rFonts w:eastAsia="Times New Roman"/>
        </w:rPr>
      </w:pPr>
      <w:r>
        <w:rPr>
          <w:rFonts w:eastAsia="Times New Roman"/>
        </w:rPr>
        <w:t>Het betreft de netto inzetbaarheid van het OOP, d.w.z. dat er sprake is van seniorenverlof en ouderschapsverlof wat in de toekomst kan wijzigen</w:t>
      </w:r>
    </w:p>
    <w:p w14:paraId="18731C00" w14:textId="77777777" w:rsidR="00D64D88" w:rsidRDefault="00D64D88" w:rsidP="00D64D88">
      <w:pPr>
        <w:pStyle w:val="Lijstalinea"/>
        <w:numPr>
          <w:ilvl w:val="0"/>
          <w:numId w:val="34"/>
        </w:numPr>
        <w:spacing w:line="240" w:lineRule="auto"/>
        <w:contextualSpacing w:val="0"/>
        <w:rPr>
          <w:rFonts w:eastAsia="Times New Roman"/>
        </w:rPr>
      </w:pPr>
      <w:r>
        <w:rPr>
          <w:rFonts w:eastAsia="Times New Roman"/>
        </w:rPr>
        <w:t xml:space="preserve">Er wordt een traject gestart voor SPP OOP, doel is een effectieve en efficiënte ondersteuning voor het Ichthus College, Stichtingsbreed. </w:t>
      </w:r>
    </w:p>
    <w:p w14:paraId="09C51F9E" w14:textId="1305F655" w:rsidR="00D64D88" w:rsidRDefault="00D64D88" w:rsidP="00D64D88">
      <w:pPr>
        <w:pStyle w:val="Lijstalinea"/>
        <w:numPr>
          <w:ilvl w:val="0"/>
          <w:numId w:val="34"/>
        </w:numPr>
        <w:spacing w:line="240" w:lineRule="auto"/>
        <w:contextualSpacing w:val="0"/>
        <w:rPr>
          <w:rFonts w:eastAsia="Times New Roman"/>
        </w:rPr>
      </w:pPr>
      <w:r>
        <w:rPr>
          <w:rFonts w:eastAsia="Times New Roman"/>
        </w:rPr>
        <w:t>Binnenkort start op het Ichthus College Kampen het proces t.b.v. strategische personeelsplanning (SPP), de uitkomsten van dit proces worden op stichtingsniveau gedeeld om gemeenschappelijke knelpunten samen op te lossen. Voor SPP Dronten geldt dat Frank de gesprekken met de teamleiders heeft gevoerd en verder kan werken aan de inhoud, dat betekent een flinke update en nieuw perspectief.</w:t>
      </w:r>
    </w:p>
    <w:p w14:paraId="58F1C96D" w14:textId="77777777" w:rsidR="00D64D88" w:rsidRDefault="00D64D88">
      <w:pPr>
        <w:spacing w:after="160" w:line="259" w:lineRule="auto"/>
        <w:rPr>
          <w:rFonts w:eastAsiaTheme="majorEastAsia" w:cstheme="majorBidi"/>
          <w:b/>
          <w:i/>
          <w:color w:val="005B82"/>
          <w:sz w:val="24"/>
          <w:szCs w:val="26"/>
        </w:rPr>
      </w:pPr>
    </w:p>
    <w:p w14:paraId="27491ED9" w14:textId="77777777" w:rsidR="003D0004" w:rsidRDefault="003D0004" w:rsidP="00203086">
      <w:pPr>
        <w:pStyle w:val="Kop2"/>
      </w:pPr>
      <w:r w:rsidRPr="00CF02F3">
        <w:t xml:space="preserve">        </w:t>
      </w:r>
    </w:p>
    <w:p w14:paraId="3B3131A4" w14:textId="21369012" w:rsidR="003D0004" w:rsidRDefault="006041A9" w:rsidP="006041A9">
      <w:pPr>
        <w:pStyle w:val="Kop2"/>
        <w:numPr>
          <w:ilvl w:val="1"/>
          <w:numId w:val="29"/>
        </w:numPr>
      </w:pPr>
      <w:r>
        <w:t xml:space="preserve"> </w:t>
      </w:r>
      <w:bookmarkStart w:id="29" w:name="_Toc69995011"/>
      <w:r w:rsidR="003D0004" w:rsidRPr="00CF02F3">
        <w:t>Tijdelijken &amp; uitzendkrachten</w:t>
      </w:r>
      <w:bookmarkEnd w:id="29"/>
    </w:p>
    <w:p w14:paraId="694A2D01" w14:textId="77777777" w:rsidR="00F84270" w:rsidRPr="006041A9" w:rsidRDefault="00A1773B" w:rsidP="00A1773B">
      <w:pPr>
        <w:spacing w:after="160" w:line="259" w:lineRule="auto"/>
      </w:pPr>
      <w:r w:rsidRPr="006041A9">
        <w:t>In deze fase van de formatie zijn de lessen nog niet toegedeeld aan docenten en valt nog niet te zeggen welke medewerker kan blijven</w:t>
      </w:r>
      <w:r w:rsidR="00F84270" w:rsidRPr="006041A9">
        <w:t>.</w:t>
      </w:r>
    </w:p>
    <w:p w14:paraId="5DAD63B1" w14:textId="77777777" w:rsidR="00694A12" w:rsidRPr="006041A9" w:rsidRDefault="00F84270" w:rsidP="00A1773B">
      <w:pPr>
        <w:spacing w:after="160" w:line="259" w:lineRule="auto"/>
      </w:pPr>
      <w:r w:rsidRPr="006041A9">
        <w:t>De directie wil vanwege de extra ruimte in fte die ontstaat door de extra middelen uit het NP</w:t>
      </w:r>
      <w:r w:rsidR="002E5593" w:rsidRPr="006041A9">
        <w:t>O</w:t>
      </w:r>
      <w:r w:rsidRPr="006041A9">
        <w:t>, zoveel als mogelijk tijdelijk personeel vasthouden om te voorkomen dat we personeel tekort gaan komen voor de uitvoering van de plannen</w:t>
      </w:r>
      <w:r w:rsidR="002E5593" w:rsidRPr="006041A9">
        <w:t xml:space="preserve"> die voor het NPO worden opgesteld</w:t>
      </w:r>
      <w:r w:rsidRPr="006041A9">
        <w:t>.</w:t>
      </w:r>
    </w:p>
    <w:p w14:paraId="5FD65F75" w14:textId="77777777" w:rsidR="00694A12" w:rsidRDefault="00694A12">
      <w:pPr>
        <w:spacing w:after="160" w:line="259" w:lineRule="auto"/>
      </w:pPr>
      <w:r>
        <w:br w:type="page"/>
      </w:r>
    </w:p>
    <w:p w14:paraId="3E18E365" w14:textId="77777777" w:rsidR="00203086" w:rsidRDefault="00203086" w:rsidP="00A1773B"/>
    <w:p w14:paraId="5BD87600" w14:textId="4C15ED32" w:rsidR="003D0004" w:rsidRDefault="00B176BF" w:rsidP="00B176BF">
      <w:pPr>
        <w:pStyle w:val="Kop2"/>
        <w:numPr>
          <w:ilvl w:val="1"/>
          <w:numId w:val="29"/>
        </w:numPr>
      </w:pPr>
      <w:r>
        <w:t xml:space="preserve"> </w:t>
      </w:r>
      <w:bookmarkStart w:id="30" w:name="_Toc69995012"/>
      <w:r>
        <w:t>Functi</w:t>
      </w:r>
      <w:r w:rsidR="003D0004" w:rsidRPr="00CF02F3">
        <w:t>emix binnen de Stichting en eenheid</w:t>
      </w:r>
      <w:r w:rsidR="008978E5">
        <w:t xml:space="preserve"> (zie ook hoofdstuk </w:t>
      </w:r>
      <w:r w:rsidR="00BA1DA3">
        <w:t>4.1</w:t>
      </w:r>
      <w:r w:rsidR="008978E5">
        <w:t>)</w:t>
      </w:r>
      <w:bookmarkEnd w:id="30"/>
    </w:p>
    <w:p w14:paraId="1A33D5D0" w14:textId="77777777" w:rsidR="008978E5" w:rsidRDefault="008978E5" w:rsidP="008978E5">
      <w:pPr>
        <w:rPr>
          <w:rFonts w:cs="Arial"/>
          <w:szCs w:val="20"/>
        </w:rPr>
      </w:pPr>
      <w:r w:rsidRPr="008978E5">
        <w:rPr>
          <w:rFonts w:cs="Arial"/>
          <w:szCs w:val="20"/>
        </w:rPr>
        <w:t xml:space="preserve">Jaarlijks wordt met de GMR afgesproken over de functiemix binnen de stichting. Het is het vinden van een goede balans tussen de betaalbaarheid van het functiebouwwerk en de inzet van docenten voor meer complexe taken op het niveau van de locatie of de gehele school. </w:t>
      </w:r>
    </w:p>
    <w:p w14:paraId="519E510C" w14:textId="77777777" w:rsidR="008978E5" w:rsidRPr="008978E5" w:rsidRDefault="008978E5" w:rsidP="008978E5">
      <w:pPr>
        <w:rPr>
          <w:rFonts w:cs="Arial"/>
          <w:szCs w:val="20"/>
        </w:rPr>
      </w:pPr>
    </w:p>
    <w:p w14:paraId="419813F3" w14:textId="77777777" w:rsidR="00E56D17" w:rsidRPr="00E56D17" w:rsidRDefault="00E56D17" w:rsidP="00E56D17">
      <w:pPr>
        <w:rPr>
          <w:rFonts w:cs="Arial"/>
          <w:szCs w:val="20"/>
        </w:rPr>
      </w:pPr>
      <w:r w:rsidRPr="00E56D17">
        <w:rPr>
          <w:rFonts w:cs="Arial"/>
          <w:szCs w:val="20"/>
        </w:rPr>
        <w:t xml:space="preserve">Hieronder is een tabel opgenomen met de resultaten van een meting per 1 maart 2021. Dit geeft een beeld van hoe de huidige functiemix zich verhoudt tot de streefpercentages uit 2014. </w:t>
      </w:r>
    </w:p>
    <w:p w14:paraId="02421BE9" w14:textId="77777777" w:rsidR="00E56D17" w:rsidRPr="00E56D17" w:rsidRDefault="00E56D17" w:rsidP="00E56D17">
      <w:pPr>
        <w:rPr>
          <w:rFonts w:cs="Arial"/>
          <w:szCs w:val="20"/>
        </w:rPr>
      </w:pPr>
    </w:p>
    <w:p w14:paraId="56A6DBF6" w14:textId="77777777" w:rsidR="00B33A59" w:rsidRPr="00B33A59" w:rsidRDefault="00B33A59" w:rsidP="00B33A59">
      <w:pPr>
        <w:rPr>
          <w:rFonts w:cs="Arial"/>
          <w:szCs w:val="20"/>
        </w:rPr>
      </w:pPr>
    </w:p>
    <w:tbl>
      <w:tblPr>
        <w:tblW w:w="6964" w:type="dxa"/>
        <w:tblCellMar>
          <w:left w:w="0" w:type="dxa"/>
          <w:right w:w="0" w:type="dxa"/>
        </w:tblCellMar>
        <w:tblLook w:val="04A0" w:firstRow="1" w:lastRow="0" w:firstColumn="1" w:lastColumn="0" w:noHBand="0" w:noVBand="1"/>
      </w:tblPr>
      <w:tblGrid>
        <w:gridCol w:w="2104"/>
        <w:gridCol w:w="1204"/>
        <w:gridCol w:w="1227"/>
        <w:gridCol w:w="1308"/>
        <w:gridCol w:w="1121"/>
      </w:tblGrid>
      <w:tr w:rsidR="00B33A59" w:rsidRPr="00B33A59" w14:paraId="47157EAC" w14:textId="77777777" w:rsidTr="00B33A59">
        <w:trPr>
          <w:trHeight w:val="220"/>
        </w:trPr>
        <w:tc>
          <w:tcPr>
            <w:tcW w:w="4535" w:type="dxa"/>
            <w:gridSpan w:val="3"/>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5A51624E" w14:textId="77777777" w:rsidR="00B33A59" w:rsidRPr="00B33A59" w:rsidRDefault="00B33A59" w:rsidP="00B33A59">
            <w:pPr>
              <w:rPr>
                <w:rFonts w:cs="Arial"/>
                <w:b/>
                <w:bCs/>
                <w:szCs w:val="20"/>
              </w:rPr>
            </w:pPr>
            <w:r w:rsidRPr="00B33A59">
              <w:rPr>
                <w:rFonts w:cs="Arial"/>
                <w:b/>
                <w:bCs/>
                <w:szCs w:val="20"/>
              </w:rPr>
              <w:t>Stand van zaken Functiemix Ichthus College maart 2021</w:t>
            </w:r>
          </w:p>
        </w:tc>
        <w:tc>
          <w:tcPr>
            <w:tcW w:w="1308" w:type="dxa"/>
            <w:tcBorders>
              <w:top w:val="single" w:sz="8" w:space="0" w:color="auto"/>
              <w:left w:val="nil"/>
              <w:bottom w:val="nil"/>
              <w:right w:val="nil"/>
            </w:tcBorders>
            <w:noWrap/>
            <w:tcMar>
              <w:top w:w="0" w:type="dxa"/>
              <w:left w:w="70" w:type="dxa"/>
              <w:bottom w:w="0" w:type="dxa"/>
              <w:right w:w="70" w:type="dxa"/>
            </w:tcMar>
            <w:vAlign w:val="bottom"/>
            <w:hideMark/>
          </w:tcPr>
          <w:p w14:paraId="7F35206D" w14:textId="77777777" w:rsidR="00B33A59" w:rsidRPr="00B33A59" w:rsidRDefault="00B33A59" w:rsidP="00B33A59">
            <w:pPr>
              <w:rPr>
                <w:rFonts w:cs="Arial"/>
                <w:b/>
                <w:bCs/>
                <w:szCs w:val="20"/>
              </w:rPr>
            </w:pPr>
          </w:p>
        </w:tc>
        <w:tc>
          <w:tcPr>
            <w:tcW w:w="1121"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3429EA7D" w14:textId="77777777" w:rsidR="00B33A59" w:rsidRPr="00B33A59" w:rsidRDefault="00B33A59" w:rsidP="00B33A59">
            <w:pPr>
              <w:rPr>
                <w:rFonts w:cs="Arial"/>
                <w:szCs w:val="20"/>
              </w:rPr>
            </w:pPr>
          </w:p>
        </w:tc>
      </w:tr>
      <w:tr w:rsidR="00B33A59" w:rsidRPr="00B33A59" w14:paraId="097C9AD6" w14:textId="77777777" w:rsidTr="00B33A59">
        <w:trPr>
          <w:trHeight w:val="220"/>
        </w:trPr>
        <w:tc>
          <w:tcPr>
            <w:tcW w:w="2104" w:type="dxa"/>
            <w:tcBorders>
              <w:top w:val="nil"/>
              <w:left w:val="single" w:sz="8" w:space="0" w:color="auto"/>
              <w:bottom w:val="single" w:sz="8" w:space="0" w:color="auto"/>
              <w:right w:val="nil"/>
            </w:tcBorders>
            <w:noWrap/>
            <w:tcMar>
              <w:top w:w="0" w:type="dxa"/>
              <w:left w:w="70" w:type="dxa"/>
              <w:bottom w:w="0" w:type="dxa"/>
              <w:right w:w="70" w:type="dxa"/>
            </w:tcMar>
            <w:vAlign w:val="bottom"/>
          </w:tcPr>
          <w:p w14:paraId="1EA96E58" w14:textId="77777777" w:rsidR="00B33A59" w:rsidRPr="00B33A59" w:rsidRDefault="00B33A59" w:rsidP="00B33A59">
            <w:pPr>
              <w:rPr>
                <w:rFonts w:cs="Arial"/>
                <w:b/>
                <w:bCs/>
                <w:szCs w:val="20"/>
              </w:rPr>
            </w:pPr>
          </w:p>
        </w:tc>
        <w:tc>
          <w:tcPr>
            <w:tcW w:w="1204" w:type="dxa"/>
            <w:tcBorders>
              <w:top w:val="nil"/>
              <w:left w:val="nil"/>
              <w:bottom w:val="single" w:sz="8" w:space="0" w:color="auto"/>
              <w:right w:val="nil"/>
            </w:tcBorders>
            <w:noWrap/>
            <w:tcMar>
              <w:top w:w="0" w:type="dxa"/>
              <w:left w:w="70" w:type="dxa"/>
              <w:bottom w:w="0" w:type="dxa"/>
              <w:right w:w="70" w:type="dxa"/>
            </w:tcMar>
            <w:vAlign w:val="bottom"/>
          </w:tcPr>
          <w:p w14:paraId="64FAE1FC" w14:textId="77777777" w:rsidR="00B33A59" w:rsidRPr="00B33A59" w:rsidRDefault="00B33A59" w:rsidP="00B33A59">
            <w:pPr>
              <w:rPr>
                <w:rFonts w:cs="Arial"/>
                <w:b/>
                <w:bCs/>
                <w:szCs w:val="20"/>
              </w:rPr>
            </w:pPr>
          </w:p>
        </w:tc>
        <w:tc>
          <w:tcPr>
            <w:tcW w:w="1227" w:type="dxa"/>
            <w:tcBorders>
              <w:top w:val="nil"/>
              <w:left w:val="nil"/>
              <w:bottom w:val="single" w:sz="8" w:space="0" w:color="auto"/>
              <w:right w:val="nil"/>
            </w:tcBorders>
            <w:noWrap/>
            <w:tcMar>
              <w:top w:w="0" w:type="dxa"/>
              <w:left w:w="70" w:type="dxa"/>
              <w:bottom w:w="0" w:type="dxa"/>
              <w:right w:w="70" w:type="dxa"/>
            </w:tcMar>
            <w:vAlign w:val="bottom"/>
          </w:tcPr>
          <w:p w14:paraId="07BC6D59" w14:textId="77777777" w:rsidR="00B33A59" w:rsidRPr="00B33A59" w:rsidRDefault="00B33A59" w:rsidP="00B33A59">
            <w:pPr>
              <w:rPr>
                <w:rFonts w:cs="Arial"/>
                <w:szCs w:val="20"/>
              </w:rPr>
            </w:pPr>
          </w:p>
        </w:tc>
        <w:tc>
          <w:tcPr>
            <w:tcW w:w="1308" w:type="dxa"/>
            <w:tcBorders>
              <w:top w:val="nil"/>
              <w:left w:val="nil"/>
              <w:bottom w:val="single" w:sz="8" w:space="0" w:color="auto"/>
              <w:right w:val="nil"/>
            </w:tcBorders>
            <w:noWrap/>
            <w:tcMar>
              <w:top w:w="0" w:type="dxa"/>
              <w:left w:w="70" w:type="dxa"/>
              <w:bottom w:w="0" w:type="dxa"/>
              <w:right w:w="70" w:type="dxa"/>
            </w:tcMar>
            <w:vAlign w:val="bottom"/>
          </w:tcPr>
          <w:p w14:paraId="62BB98EA" w14:textId="77777777" w:rsidR="00B33A59" w:rsidRPr="00B33A59" w:rsidRDefault="00B33A59" w:rsidP="00B33A59">
            <w:pPr>
              <w:rPr>
                <w:rFonts w:cs="Arial"/>
                <w:szCs w:val="20"/>
              </w:rPr>
            </w:pP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1E641F1" w14:textId="77777777" w:rsidR="00B33A59" w:rsidRPr="00B33A59" w:rsidRDefault="00B33A59" w:rsidP="00B33A59">
            <w:pPr>
              <w:rPr>
                <w:rFonts w:cs="Arial"/>
                <w:szCs w:val="20"/>
              </w:rPr>
            </w:pPr>
          </w:p>
        </w:tc>
      </w:tr>
      <w:tr w:rsidR="00B33A59" w:rsidRPr="00B33A59" w14:paraId="787675FC" w14:textId="77777777" w:rsidTr="00B33A59">
        <w:trPr>
          <w:trHeight w:val="220"/>
        </w:trPr>
        <w:tc>
          <w:tcPr>
            <w:tcW w:w="6964"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C4CC6E2" w14:textId="77777777" w:rsidR="00B33A59" w:rsidRPr="00B33A59" w:rsidRDefault="00B33A59" w:rsidP="00B33A59">
            <w:pPr>
              <w:rPr>
                <w:rFonts w:cs="Arial"/>
                <w:szCs w:val="20"/>
              </w:rPr>
            </w:pPr>
            <w:r w:rsidRPr="00B33A59">
              <w:rPr>
                <w:rFonts w:cs="Arial"/>
                <w:i/>
                <w:iCs/>
                <w:szCs w:val="20"/>
              </w:rPr>
              <w:t>Meting maart 2021: totale OP formatie in eigen dienst = 143,5786 fte.</w:t>
            </w:r>
          </w:p>
        </w:tc>
      </w:tr>
      <w:tr w:rsidR="00B33A59" w:rsidRPr="00B33A59" w14:paraId="5A9E3792" w14:textId="77777777" w:rsidTr="00B33A59">
        <w:trPr>
          <w:trHeight w:val="441"/>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9932FD" w14:textId="77777777" w:rsidR="00B33A59" w:rsidRPr="00B33A59" w:rsidRDefault="00B33A59" w:rsidP="00B33A59">
            <w:pPr>
              <w:rPr>
                <w:rFonts w:cs="Arial"/>
                <w:szCs w:val="20"/>
              </w:rPr>
            </w:pP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460A39" w14:textId="77777777" w:rsidR="00B33A59" w:rsidRPr="00B33A59" w:rsidRDefault="00B33A59" w:rsidP="00B33A59">
            <w:pPr>
              <w:rPr>
                <w:rFonts w:cs="Arial"/>
                <w:szCs w:val="20"/>
              </w:rPr>
            </w:pPr>
            <w:r w:rsidRPr="00B33A59">
              <w:rPr>
                <w:rFonts w:cs="Arial"/>
                <w:szCs w:val="20"/>
              </w:rPr>
              <w:t>Streef %</w:t>
            </w:r>
          </w:p>
          <w:p w14:paraId="3502FF5B" w14:textId="77777777" w:rsidR="00B33A59" w:rsidRPr="00B33A59" w:rsidRDefault="00B33A59" w:rsidP="00B33A59">
            <w:pPr>
              <w:rPr>
                <w:rFonts w:cs="Arial"/>
                <w:szCs w:val="20"/>
              </w:rPr>
            </w:pPr>
            <w:r w:rsidRPr="00B33A59">
              <w:rPr>
                <w:rFonts w:cs="Arial"/>
                <w:szCs w:val="20"/>
              </w:rPr>
              <w:t>2014</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B06F2" w14:textId="77777777" w:rsidR="00B33A59" w:rsidRPr="00B33A59" w:rsidRDefault="00B33A59" w:rsidP="00B33A59">
            <w:pPr>
              <w:rPr>
                <w:rFonts w:cs="Arial"/>
                <w:szCs w:val="20"/>
              </w:rPr>
            </w:pPr>
            <w:r w:rsidRPr="00B33A59">
              <w:rPr>
                <w:rFonts w:cs="Arial"/>
                <w:szCs w:val="20"/>
              </w:rPr>
              <w:t>Meting maart 2021</w:t>
            </w:r>
          </w:p>
        </w:tc>
        <w:tc>
          <w:tcPr>
            <w:tcW w:w="13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516574A" w14:textId="7FC97FAA" w:rsidR="00B33A59" w:rsidRPr="00B33A59" w:rsidRDefault="00B33A59" w:rsidP="00B33A59">
            <w:pPr>
              <w:rPr>
                <w:rFonts w:cs="Arial"/>
                <w:szCs w:val="20"/>
              </w:rPr>
            </w:pPr>
            <w:r w:rsidRPr="00B33A59">
              <w:rPr>
                <w:rFonts w:cs="Arial"/>
                <w:szCs w:val="20"/>
              </w:rPr>
              <w:t xml:space="preserve">Verschil 2021 </w:t>
            </w:r>
            <w:r w:rsidR="00E3556B" w:rsidRPr="00B33A59">
              <w:rPr>
                <w:rFonts w:cs="Arial"/>
                <w:szCs w:val="20"/>
              </w:rPr>
              <w:t>t.o.v.</w:t>
            </w:r>
            <w:r w:rsidRPr="00B33A59">
              <w:rPr>
                <w:rFonts w:cs="Arial"/>
                <w:szCs w:val="20"/>
              </w:rPr>
              <w:t xml:space="preserve"> 2014</w:t>
            </w:r>
          </w:p>
        </w:tc>
        <w:tc>
          <w:tcPr>
            <w:tcW w:w="1121" w:type="dxa"/>
            <w:tcBorders>
              <w:top w:val="nil"/>
              <w:left w:val="nil"/>
              <w:bottom w:val="nil"/>
              <w:right w:val="single" w:sz="8" w:space="0" w:color="auto"/>
            </w:tcBorders>
            <w:noWrap/>
            <w:tcMar>
              <w:top w:w="0" w:type="dxa"/>
              <w:left w:w="70" w:type="dxa"/>
              <w:bottom w:w="0" w:type="dxa"/>
              <w:right w:w="70" w:type="dxa"/>
            </w:tcMar>
            <w:vAlign w:val="bottom"/>
            <w:hideMark/>
          </w:tcPr>
          <w:p w14:paraId="751FA8DE" w14:textId="77777777" w:rsidR="00B33A59" w:rsidRPr="00B33A59" w:rsidRDefault="00B33A59" w:rsidP="00B33A59">
            <w:pPr>
              <w:rPr>
                <w:rFonts w:cs="Arial"/>
                <w:szCs w:val="20"/>
              </w:rPr>
            </w:pPr>
          </w:p>
        </w:tc>
      </w:tr>
      <w:tr w:rsidR="00B33A59" w:rsidRPr="00B33A59" w14:paraId="44CDBD29" w14:textId="77777777" w:rsidTr="00B33A59">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C6BDAD" w14:textId="77777777" w:rsidR="00B33A59" w:rsidRPr="00B33A59" w:rsidRDefault="00B33A59" w:rsidP="00B33A59">
            <w:pPr>
              <w:rPr>
                <w:rFonts w:cs="Arial"/>
                <w:szCs w:val="20"/>
              </w:rPr>
            </w:pPr>
            <w:r w:rsidRPr="00B33A59">
              <w:rPr>
                <w:rFonts w:cs="Arial"/>
                <w:szCs w:val="20"/>
              </w:rPr>
              <w:t xml:space="preserve">LB </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673CF6" w14:textId="77777777" w:rsidR="00B33A59" w:rsidRPr="00B33A59" w:rsidRDefault="00B33A59" w:rsidP="00B33A59">
            <w:pPr>
              <w:rPr>
                <w:rFonts w:cs="Arial"/>
                <w:szCs w:val="20"/>
              </w:rPr>
            </w:pPr>
            <w:r w:rsidRPr="00B33A59">
              <w:rPr>
                <w:rFonts w:cs="Arial"/>
                <w:szCs w:val="20"/>
              </w:rPr>
              <w:t>45,70%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9A7C2B" w14:textId="77777777" w:rsidR="00B33A59" w:rsidRPr="00B33A59" w:rsidRDefault="00B33A59" w:rsidP="00B33A59">
            <w:pPr>
              <w:rPr>
                <w:rFonts w:cs="Arial"/>
                <w:szCs w:val="20"/>
              </w:rPr>
            </w:pPr>
            <w:r w:rsidRPr="00B33A59">
              <w:rPr>
                <w:rFonts w:cs="Arial"/>
                <w:szCs w:val="20"/>
              </w:rPr>
              <w:t>59,31%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9A3D15" w14:textId="77777777" w:rsidR="00B33A59" w:rsidRPr="00B33A59" w:rsidRDefault="00B33A59" w:rsidP="00B33A59">
            <w:pPr>
              <w:rPr>
                <w:rFonts w:cs="Arial"/>
                <w:szCs w:val="20"/>
              </w:rPr>
            </w:pPr>
            <w:r w:rsidRPr="00B33A59">
              <w:rPr>
                <w:rFonts w:cs="Arial"/>
                <w:szCs w:val="20"/>
              </w:rPr>
              <w:t>13,61%</w:t>
            </w:r>
          </w:p>
        </w:tc>
        <w:tc>
          <w:tcPr>
            <w:tcW w:w="1121" w:type="dxa"/>
            <w:tcBorders>
              <w:top w:val="nil"/>
              <w:left w:val="nil"/>
              <w:bottom w:val="nil"/>
              <w:right w:val="single" w:sz="8" w:space="0" w:color="auto"/>
            </w:tcBorders>
            <w:noWrap/>
            <w:tcMar>
              <w:top w:w="0" w:type="dxa"/>
              <w:left w:w="70" w:type="dxa"/>
              <w:bottom w:w="0" w:type="dxa"/>
              <w:right w:w="70" w:type="dxa"/>
            </w:tcMar>
            <w:vAlign w:val="bottom"/>
          </w:tcPr>
          <w:p w14:paraId="51264910" w14:textId="77777777" w:rsidR="00B33A59" w:rsidRPr="00B33A59" w:rsidRDefault="00B33A59" w:rsidP="00B33A59">
            <w:pPr>
              <w:rPr>
                <w:rFonts w:cs="Arial"/>
                <w:szCs w:val="20"/>
              </w:rPr>
            </w:pPr>
          </w:p>
        </w:tc>
      </w:tr>
      <w:tr w:rsidR="00B33A59" w:rsidRPr="00B33A59" w14:paraId="3E5ADD1C" w14:textId="77777777" w:rsidTr="00B33A59">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DE9946" w14:textId="77777777" w:rsidR="00B33A59" w:rsidRPr="00B33A59" w:rsidRDefault="00B33A59" w:rsidP="00B33A59">
            <w:pPr>
              <w:rPr>
                <w:rFonts w:cs="Arial"/>
                <w:szCs w:val="20"/>
              </w:rPr>
            </w:pPr>
            <w:r w:rsidRPr="00B33A59">
              <w:rPr>
                <w:rFonts w:cs="Arial"/>
                <w:szCs w:val="20"/>
              </w:rPr>
              <w:t>LC</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AAE1EE" w14:textId="77777777" w:rsidR="00B33A59" w:rsidRPr="00B33A59" w:rsidRDefault="00B33A59" w:rsidP="00B33A59">
            <w:pPr>
              <w:rPr>
                <w:rFonts w:cs="Arial"/>
                <w:szCs w:val="20"/>
              </w:rPr>
            </w:pPr>
            <w:r w:rsidRPr="00B33A59">
              <w:rPr>
                <w:rFonts w:cs="Arial"/>
                <w:szCs w:val="20"/>
              </w:rPr>
              <w:t>23,30%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AA3697" w14:textId="77777777" w:rsidR="00B33A59" w:rsidRPr="00B33A59" w:rsidRDefault="00B33A59" w:rsidP="00B33A59">
            <w:pPr>
              <w:rPr>
                <w:rFonts w:cs="Arial"/>
                <w:szCs w:val="20"/>
              </w:rPr>
            </w:pPr>
            <w:r w:rsidRPr="00B33A59">
              <w:rPr>
                <w:rFonts w:cs="Arial"/>
                <w:szCs w:val="20"/>
              </w:rPr>
              <w:t>22,68%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FCEB24" w14:textId="77777777" w:rsidR="00B33A59" w:rsidRPr="00B33A59" w:rsidRDefault="00B33A59" w:rsidP="00B33A59">
            <w:pPr>
              <w:rPr>
                <w:rFonts w:cs="Arial"/>
                <w:szCs w:val="20"/>
              </w:rPr>
            </w:pPr>
            <w:r w:rsidRPr="00B33A59">
              <w:rPr>
                <w:rFonts w:cs="Arial"/>
                <w:szCs w:val="20"/>
              </w:rPr>
              <w:t>-0,62%</w:t>
            </w:r>
          </w:p>
        </w:tc>
        <w:tc>
          <w:tcPr>
            <w:tcW w:w="1121" w:type="dxa"/>
            <w:tcBorders>
              <w:top w:val="nil"/>
              <w:left w:val="nil"/>
              <w:bottom w:val="nil"/>
              <w:right w:val="single" w:sz="8" w:space="0" w:color="auto"/>
            </w:tcBorders>
            <w:noWrap/>
            <w:tcMar>
              <w:top w:w="0" w:type="dxa"/>
              <w:left w:w="70" w:type="dxa"/>
              <w:bottom w:w="0" w:type="dxa"/>
              <w:right w:w="70" w:type="dxa"/>
            </w:tcMar>
            <w:vAlign w:val="bottom"/>
          </w:tcPr>
          <w:p w14:paraId="74D584F7" w14:textId="77777777" w:rsidR="00B33A59" w:rsidRPr="00B33A59" w:rsidRDefault="00B33A59" w:rsidP="00B33A59">
            <w:pPr>
              <w:rPr>
                <w:rFonts w:cs="Arial"/>
                <w:szCs w:val="20"/>
              </w:rPr>
            </w:pPr>
          </w:p>
        </w:tc>
      </w:tr>
      <w:tr w:rsidR="00B33A59" w:rsidRPr="00B33A59" w14:paraId="18B9B9F1" w14:textId="77777777" w:rsidTr="00B33A59">
        <w:trPr>
          <w:trHeight w:val="259"/>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EE14BDF" w14:textId="77777777" w:rsidR="00B33A59" w:rsidRPr="00B33A59" w:rsidRDefault="00B33A59" w:rsidP="00B33A59">
            <w:pPr>
              <w:rPr>
                <w:rFonts w:cs="Arial"/>
                <w:szCs w:val="20"/>
              </w:rPr>
            </w:pPr>
            <w:r w:rsidRPr="00B33A59">
              <w:rPr>
                <w:rFonts w:cs="Arial"/>
                <w:szCs w:val="20"/>
              </w:rPr>
              <w:t>LD</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28758A" w14:textId="77777777" w:rsidR="00B33A59" w:rsidRPr="00B33A59" w:rsidRDefault="00B33A59" w:rsidP="00B33A59">
            <w:pPr>
              <w:rPr>
                <w:rFonts w:cs="Arial"/>
                <w:szCs w:val="20"/>
              </w:rPr>
            </w:pPr>
            <w:r w:rsidRPr="00B33A59">
              <w:rPr>
                <w:rFonts w:cs="Arial"/>
                <w:szCs w:val="20"/>
              </w:rPr>
              <w:t>28,10%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320C91" w14:textId="77777777" w:rsidR="00B33A59" w:rsidRPr="00B33A59" w:rsidRDefault="00B33A59" w:rsidP="00B33A59">
            <w:pPr>
              <w:rPr>
                <w:rFonts w:cs="Arial"/>
                <w:szCs w:val="20"/>
              </w:rPr>
            </w:pPr>
            <w:r w:rsidRPr="00B33A59">
              <w:rPr>
                <w:rFonts w:cs="Arial"/>
                <w:szCs w:val="20"/>
              </w:rPr>
              <w:t>18,01%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1903EC" w14:textId="77777777" w:rsidR="00B33A59" w:rsidRPr="00B33A59" w:rsidRDefault="00B33A59" w:rsidP="00B33A59">
            <w:pPr>
              <w:rPr>
                <w:rFonts w:cs="Arial"/>
                <w:szCs w:val="20"/>
              </w:rPr>
            </w:pPr>
            <w:r w:rsidRPr="00B33A59">
              <w:rPr>
                <w:rFonts w:cs="Arial"/>
                <w:szCs w:val="20"/>
              </w:rPr>
              <w:t>-10,09%</w:t>
            </w:r>
          </w:p>
        </w:tc>
        <w:tc>
          <w:tcPr>
            <w:tcW w:w="1121" w:type="dxa"/>
            <w:tcBorders>
              <w:top w:val="nil"/>
              <w:left w:val="nil"/>
              <w:bottom w:val="nil"/>
              <w:right w:val="single" w:sz="8" w:space="0" w:color="auto"/>
            </w:tcBorders>
            <w:noWrap/>
            <w:tcMar>
              <w:top w:w="0" w:type="dxa"/>
              <w:left w:w="70" w:type="dxa"/>
              <w:bottom w:w="0" w:type="dxa"/>
              <w:right w:w="70" w:type="dxa"/>
            </w:tcMar>
            <w:vAlign w:val="bottom"/>
          </w:tcPr>
          <w:p w14:paraId="60B84847" w14:textId="77777777" w:rsidR="00B33A59" w:rsidRPr="00B33A59" w:rsidRDefault="00B33A59" w:rsidP="00B33A59">
            <w:pPr>
              <w:rPr>
                <w:rFonts w:cs="Arial"/>
                <w:szCs w:val="20"/>
              </w:rPr>
            </w:pPr>
          </w:p>
        </w:tc>
      </w:tr>
      <w:tr w:rsidR="00B33A59" w:rsidRPr="00B33A59" w14:paraId="5CAEFEAA" w14:textId="77777777" w:rsidTr="00B33A59">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81F067A" w14:textId="77777777" w:rsidR="00B33A59" w:rsidRPr="00B33A59" w:rsidRDefault="00B33A59" w:rsidP="00B33A59">
            <w:pPr>
              <w:rPr>
                <w:rFonts w:cs="Arial"/>
                <w:szCs w:val="20"/>
              </w:rPr>
            </w:pPr>
            <w:r w:rsidRPr="00B33A59">
              <w:rPr>
                <w:rFonts w:cs="Arial"/>
                <w:szCs w:val="20"/>
              </w:rPr>
              <w:t>Totaal</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484B70" w14:textId="77777777" w:rsidR="00B33A59" w:rsidRPr="00B33A59" w:rsidRDefault="00B33A59" w:rsidP="00B33A59">
            <w:pPr>
              <w:rPr>
                <w:rFonts w:cs="Arial"/>
                <w:szCs w:val="20"/>
              </w:rPr>
            </w:pPr>
            <w:r w:rsidRPr="00B33A59">
              <w:rPr>
                <w:rFonts w:cs="Arial"/>
                <w:szCs w:val="20"/>
              </w:rPr>
              <w:t>100,10%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82EEB6" w14:textId="77777777" w:rsidR="00B33A59" w:rsidRPr="00B33A59" w:rsidRDefault="00B33A59" w:rsidP="00B33A59">
            <w:pPr>
              <w:rPr>
                <w:rFonts w:cs="Arial"/>
                <w:szCs w:val="20"/>
              </w:rPr>
            </w:pPr>
            <w:r w:rsidRPr="00B33A59">
              <w:rPr>
                <w:rFonts w:cs="Arial"/>
                <w:szCs w:val="20"/>
              </w:rPr>
              <w:t>100,00%</w:t>
            </w:r>
          </w:p>
        </w:tc>
        <w:tc>
          <w:tcPr>
            <w:tcW w:w="1308" w:type="dxa"/>
            <w:noWrap/>
            <w:tcMar>
              <w:top w:w="0" w:type="dxa"/>
              <w:left w:w="70" w:type="dxa"/>
              <w:bottom w:w="0" w:type="dxa"/>
              <w:right w:w="70" w:type="dxa"/>
            </w:tcMar>
            <w:vAlign w:val="bottom"/>
            <w:hideMark/>
          </w:tcPr>
          <w:p w14:paraId="3B0CB2F4" w14:textId="77777777" w:rsidR="00B33A59" w:rsidRPr="00B33A59" w:rsidRDefault="00B33A59" w:rsidP="00B33A59">
            <w:pPr>
              <w:rPr>
                <w:rFonts w:cs="Arial"/>
                <w:szCs w:val="20"/>
              </w:rPr>
            </w:pPr>
          </w:p>
        </w:tc>
        <w:tc>
          <w:tcPr>
            <w:tcW w:w="1121" w:type="dxa"/>
            <w:tcBorders>
              <w:top w:val="nil"/>
              <w:left w:val="nil"/>
              <w:bottom w:val="nil"/>
              <w:right w:val="single" w:sz="8" w:space="0" w:color="auto"/>
            </w:tcBorders>
            <w:noWrap/>
            <w:tcMar>
              <w:top w:w="0" w:type="dxa"/>
              <w:left w:w="70" w:type="dxa"/>
              <w:bottom w:w="0" w:type="dxa"/>
              <w:right w:w="70" w:type="dxa"/>
            </w:tcMar>
            <w:vAlign w:val="bottom"/>
            <w:hideMark/>
          </w:tcPr>
          <w:p w14:paraId="713A17C6" w14:textId="77777777" w:rsidR="00B33A59" w:rsidRPr="00B33A59" w:rsidRDefault="00B33A59" w:rsidP="00B33A59">
            <w:pPr>
              <w:rPr>
                <w:rFonts w:cs="Arial"/>
                <w:szCs w:val="20"/>
              </w:rPr>
            </w:pPr>
          </w:p>
        </w:tc>
      </w:tr>
      <w:tr w:rsidR="00B33A59" w:rsidRPr="00B33A59" w14:paraId="78040EFF" w14:textId="77777777" w:rsidTr="00B33A59">
        <w:trPr>
          <w:trHeight w:val="220"/>
        </w:trPr>
        <w:tc>
          <w:tcPr>
            <w:tcW w:w="2104" w:type="dxa"/>
            <w:tcBorders>
              <w:top w:val="nil"/>
              <w:left w:val="single" w:sz="8" w:space="0" w:color="auto"/>
              <w:bottom w:val="single" w:sz="8" w:space="0" w:color="auto"/>
              <w:right w:val="nil"/>
            </w:tcBorders>
            <w:noWrap/>
            <w:tcMar>
              <w:top w:w="0" w:type="dxa"/>
              <w:left w:w="70" w:type="dxa"/>
              <w:bottom w:w="0" w:type="dxa"/>
              <w:right w:w="70" w:type="dxa"/>
            </w:tcMar>
            <w:vAlign w:val="bottom"/>
          </w:tcPr>
          <w:p w14:paraId="406CA3CA" w14:textId="77777777" w:rsidR="00B33A59" w:rsidRPr="00B33A59" w:rsidRDefault="00B33A59" w:rsidP="00B33A59">
            <w:pPr>
              <w:rPr>
                <w:rFonts w:cs="Arial"/>
                <w:szCs w:val="20"/>
              </w:rPr>
            </w:pPr>
          </w:p>
        </w:tc>
        <w:tc>
          <w:tcPr>
            <w:tcW w:w="1204" w:type="dxa"/>
            <w:tcBorders>
              <w:top w:val="nil"/>
              <w:left w:val="nil"/>
              <w:bottom w:val="single" w:sz="8" w:space="0" w:color="auto"/>
              <w:right w:val="nil"/>
            </w:tcBorders>
            <w:noWrap/>
            <w:tcMar>
              <w:top w:w="0" w:type="dxa"/>
              <w:left w:w="70" w:type="dxa"/>
              <w:bottom w:w="0" w:type="dxa"/>
              <w:right w:w="70" w:type="dxa"/>
            </w:tcMar>
            <w:vAlign w:val="bottom"/>
          </w:tcPr>
          <w:p w14:paraId="22D442AB" w14:textId="77777777" w:rsidR="00B33A59" w:rsidRPr="00B33A59" w:rsidRDefault="00B33A59" w:rsidP="00B33A59">
            <w:pPr>
              <w:rPr>
                <w:rFonts w:cs="Arial"/>
                <w:szCs w:val="20"/>
              </w:rPr>
            </w:pPr>
          </w:p>
        </w:tc>
        <w:tc>
          <w:tcPr>
            <w:tcW w:w="1227" w:type="dxa"/>
            <w:tcBorders>
              <w:top w:val="nil"/>
              <w:left w:val="nil"/>
              <w:bottom w:val="single" w:sz="8" w:space="0" w:color="auto"/>
              <w:right w:val="nil"/>
            </w:tcBorders>
            <w:noWrap/>
            <w:tcMar>
              <w:top w:w="0" w:type="dxa"/>
              <w:left w:w="70" w:type="dxa"/>
              <w:bottom w:w="0" w:type="dxa"/>
              <w:right w:w="70" w:type="dxa"/>
            </w:tcMar>
            <w:vAlign w:val="bottom"/>
          </w:tcPr>
          <w:p w14:paraId="440E5C22" w14:textId="77777777" w:rsidR="00B33A59" w:rsidRPr="00B33A59" w:rsidRDefault="00B33A59" w:rsidP="00B33A59">
            <w:pPr>
              <w:rPr>
                <w:rFonts w:cs="Arial"/>
                <w:szCs w:val="20"/>
              </w:rPr>
            </w:pPr>
          </w:p>
        </w:tc>
        <w:tc>
          <w:tcPr>
            <w:tcW w:w="1308" w:type="dxa"/>
            <w:tcBorders>
              <w:top w:val="nil"/>
              <w:left w:val="nil"/>
              <w:bottom w:val="single" w:sz="8" w:space="0" w:color="auto"/>
              <w:right w:val="nil"/>
            </w:tcBorders>
            <w:noWrap/>
            <w:tcMar>
              <w:top w:w="0" w:type="dxa"/>
              <w:left w:w="70" w:type="dxa"/>
              <w:bottom w:w="0" w:type="dxa"/>
              <w:right w:w="70" w:type="dxa"/>
            </w:tcMar>
            <w:vAlign w:val="bottom"/>
          </w:tcPr>
          <w:p w14:paraId="75F15F29" w14:textId="77777777" w:rsidR="00B33A59" w:rsidRPr="00B33A59" w:rsidRDefault="00B33A59" w:rsidP="00B33A59">
            <w:pPr>
              <w:rPr>
                <w:rFonts w:cs="Arial"/>
                <w:szCs w:val="20"/>
              </w:rPr>
            </w:pP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DCADCB" w14:textId="77777777" w:rsidR="00B33A59" w:rsidRPr="00B33A59" w:rsidRDefault="00B33A59" w:rsidP="00B33A59">
            <w:pPr>
              <w:rPr>
                <w:rFonts w:cs="Arial"/>
                <w:szCs w:val="20"/>
              </w:rPr>
            </w:pPr>
          </w:p>
        </w:tc>
      </w:tr>
      <w:tr w:rsidR="00B33A59" w:rsidRPr="00B33A59" w14:paraId="4259458A" w14:textId="77777777" w:rsidTr="00B33A59">
        <w:trPr>
          <w:trHeight w:val="220"/>
        </w:trPr>
        <w:tc>
          <w:tcPr>
            <w:tcW w:w="6964"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C04D10" w14:textId="77777777" w:rsidR="00B33A59" w:rsidRPr="00B33A59" w:rsidRDefault="00B33A59" w:rsidP="00B33A59">
            <w:pPr>
              <w:rPr>
                <w:rFonts w:cs="Arial"/>
                <w:i/>
                <w:iCs/>
                <w:szCs w:val="20"/>
              </w:rPr>
            </w:pPr>
            <w:r w:rsidRPr="00B33A59">
              <w:rPr>
                <w:rFonts w:cs="Arial"/>
                <w:i/>
                <w:iCs/>
                <w:szCs w:val="20"/>
              </w:rPr>
              <w:t>Verdeling Kampen en Dronten</w:t>
            </w:r>
          </w:p>
        </w:tc>
      </w:tr>
      <w:tr w:rsidR="00B33A59" w:rsidRPr="00B33A59" w14:paraId="356A5374" w14:textId="77777777" w:rsidTr="00B33A59">
        <w:trPr>
          <w:trHeight w:val="220"/>
        </w:trPr>
        <w:tc>
          <w:tcPr>
            <w:tcW w:w="2104" w:type="dxa"/>
            <w:tcBorders>
              <w:top w:val="nil"/>
              <w:left w:val="single" w:sz="8" w:space="0" w:color="auto"/>
              <w:bottom w:val="nil"/>
              <w:right w:val="nil"/>
            </w:tcBorders>
            <w:noWrap/>
            <w:tcMar>
              <w:top w:w="0" w:type="dxa"/>
              <w:left w:w="70" w:type="dxa"/>
              <w:bottom w:w="0" w:type="dxa"/>
              <w:right w:w="70" w:type="dxa"/>
            </w:tcMar>
            <w:vAlign w:val="bottom"/>
            <w:hideMark/>
          </w:tcPr>
          <w:p w14:paraId="75CD9A18" w14:textId="77777777" w:rsidR="00B33A59" w:rsidRPr="00B33A59" w:rsidRDefault="00B33A59" w:rsidP="00B33A59">
            <w:pPr>
              <w:rPr>
                <w:rFonts w:cs="Arial"/>
                <w:i/>
                <w:iCs/>
                <w:szCs w:val="20"/>
              </w:rPr>
            </w:pPr>
          </w:p>
        </w:tc>
        <w:tc>
          <w:tcPr>
            <w:tcW w:w="2431"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9D7830" w14:textId="77777777" w:rsidR="00B33A59" w:rsidRPr="00B33A59" w:rsidRDefault="00B33A59" w:rsidP="00B33A59">
            <w:pPr>
              <w:rPr>
                <w:rFonts w:cs="Arial"/>
                <w:szCs w:val="20"/>
              </w:rPr>
            </w:pPr>
            <w:r w:rsidRPr="00B33A59">
              <w:rPr>
                <w:rFonts w:cs="Arial"/>
                <w:szCs w:val="20"/>
              </w:rPr>
              <w:t>IC Kampen</w:t>
            </w:r>
          </w:p>
        </w:tc>
        <w:tc>
          <w:tcPr>
            <w:tcW w:w="242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18B1D1" w14:textId="77777777" w:rsidR="00B33A59" w:rsidRPr="00B33A59" w:rsidRDefault="00B33A59" w:rsidP="00B33A59">
            <w:pPr>
              <w:rPr>
                <w:rFonts w:cs="Arial"/>
                <w:szCs w:val="20"/>
              </w:rPr>
            </w:pPr>
            <w:r w:rsidRPr="00B33A59">
              <w:rPr>
                <w:rFonts w:cs="Arial"/>
                <w:szCs w:val="20"/>
              </w:rPr>
              <w:t>IC Dronten</w:t>
            </w:r>
          </w:p>
        </w:tc>
      </w:tr>
      <w:tr w:rsidR="00B33A59" w:rsidRPr="00B33A59" w14:paraId="64CE4677" w14:textId="77777777" w:rsidTr="00B33A59">
        <w:trPr>
          <w:trHeight w:val="259"/>
        </w:trPr>
        <w:tc>
          <w:tcPr>
            <w:tcW w:w="2104" w:type="dxa"/>
            <w:tcBorders>
              <w:top w:val="nil"/>
              <w:left w:val="single" w:sz="8" w:space="0" w:color="auto"/>
              <w:bottom w:val="nil"/>
              <w:right w:val="nil"/>
            </w:tcBorders>
            <w:tcMar>
              <w:top w:w="0" w:type="dxa"/>
              <w:left w:w="70" w:type="dxa"/>
              <w:bottom w:w="0" w:type="dxa"/>
              <w:right w:w="70" w:type="dxa"/>
            </w:tcMar>
            <w:vAlign w:val="bottom"/>
            <w:hideMark/>
          </w:tcPr>
          <w:p w14:paraId="4B104947" w14:textId="77777777" w:rsidR="00B33A59" w:rsidRPr="00B33A59" w:rsidRDefault="00B33A59" w:rsidP="00B33A59">
            <w:pPr>
              <w:rPr>
                <w:rFonts w:cs="Arial"/>
                <w:szCs w:val="20"/>
              </w:rPr>
            </w:pPr>
          </w:p>
        </w:tc>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AD81537" w14:textId="77777777" w:rsidR="00B33A59" w:rsidRPr="00B33A59" w:rsidRDefault="00B33A59" w:rsidP="00B33A59">
            <w:pPr>
              <w:rPr>
                <w:rFonts w:cs="Arial"/>
                <w:szCs w:val="20"/>
              </w:rPr>
            </w:pPr>
            <w:r w:rsidRPr="00B33A59">
              <w:rPr>
                <w:rFonts w:cs="Arial"/>
                <w:szCs w:val="20"/>
              </w:rPr>
              <w:t>FTE</w:t>
            </w:r>
          </w:p>
        </w:tc>
        <w:tc>
          <w:tcPr>
            <w:tcW w:w="122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EB2B273" w14:textId="77777777" w:rsidR="00B33A59" w:rsidRPr="00B33A59" w:rsidRDefault="00B33A59" w:rsidP="00B33A59">
            <w:pPr>
              <w:rPr>
                <w:rFonts w:cs="Arial"/>
                <w:szCs w:val="20"/>
              </w:rPr>
            </w:pPr>
            <w:r w:rsidRPr="00B33A59">
              <w:rPr>
                <w:rFonts w:cs="Arial"/>
                <w:szCs w:val="20"/>
              </w:rPr>
              <w:t>%</w:t>
            </w:r>
          </w:p>
        </w:tc>
        <w:tc>
          <w:tcPr>
            <w:tcW w:w="13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874CCF5" w14:textId="77777777" w:rsidR="00B33A59" w:rsidRPr="00B33A59" w:rsidRDefault="00B33A59" w:rsidP="00B33A59">
            <w:pPr>
              <w:rPr>
                <w:rFonts w:cs="Arial"/>
                <w:szCs w:val="20"/>
              </w:rPr>
            </w:pPr>
            <w:r w:rsidRPr="00B33A59">
              <w:rPr>
                <w:rFonts w:cs="Arial"/>
                <w:szCs w:val="20"/>
              </w:rPr>
              <w:t>FTE</w:t>
            </w:r>
          </w:p>
        </w:tc>
        <w:tc>
          <w:tcPr>
            <w:tcW w:w="112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3E78B0E" w14:textId="77777777" w:rsidR="00B33A59" w:rsidRPr="00B33A59" w:rsidRDefault="00B33A59" w:rsidP="00B33A59">
            <w:pPr>
              <w:rPr>
                <w:rFonts w:cs="Arial"/>
                <w:szCs w:val="20"/>
              </w:rPr>
            </w:pPr>
            <w:r w:rsidRPr="00B33A59">
              <w:rPr>
                <w:rFonts w:cs="Arial"/>
                <w:szCs w:val="20"/>
              </w:rPr>
              <w:t>%</w:t>
            </w:r>
          </w:p>
        </w:tc>
      </w:tr>
      <w:tr w:rsidR="00B33A59" w:rsidRPr="00B33A59" w14:paraId="71AA5ECD" w14:textId="77777777" w:rsidTr="00B33A59">
        <w:trPr>
          <w:trHeight w:val="220"/>
        </w:trPr>
        <w:tc>
          <w:tcPr>
            <w:tcW w:w="21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722DC7" w14:textId="77777777" w:rsidR="00B33A59" w:rsidRPr="00B33A59" w:rsidRDefault="00B33A59" w:rsidP="00B33A59">
            <w:pPr>
              <w:rPr>
                <w:rFonts w:cs="Arial"/>
                <w:szCs w:val="20"/>
              </w:rPr>
            </w:pPr>
            <w:r w:rsidRPr="00B33A59">
              <w:rPr>
                <w:rFonts w:cs="Arial"/>
                <w:szCs w:val="20"/>
              </w:rPr>
              <w:t xml:space="preserve">LB </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53105F" w14:textId="77777777" w:rsidR="00B33A59" w:rsidRPr="00B33A59" w:rsidRDefault="00B33A59" w:rsidP="00B33A59">
            <w:pPr>
              <w:rPr>
                <w:rFonts w:cs="Arial"/>
                <w:szCs w:val="20"/>
              </w:rPr>
            </w:pPr>
            <w:r w:rsidRPr="00B33A59">
              <w:rPr>
                <w:rFonts w:cs="Arial"/>
                <w:szCs w:val="20"/>
              </w:rPr>
              <w:t>54,7177 fte</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A7E7A0" w14:textId="77777777" w:rsidR="00B33A59" w:rsidRPr="00B33A59" w:rsidRDefault="00B33A59" w:rsidP="00B33A59">
            <w:pPr>
              <w:rPr>
                <w:rFonts w:cs="Arial"/>
                <w:szCs w:val="20"/>
              </w:rPr>
            </w:pPr>
            <w:r w:rsidRPr="00B33A59">
              <w:rPr>
                <w:rFonts w:cs="Arial"/>
                <w:szCs w:val="20"/>
              </w:rPr>
              <w:t>57,80%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6DBA2B" w14:textId="77777777" w:rsidR="00B33A59" w:rsidRPr="00B33A59" w:rsidRDefault="00B33A59" w:rsidP="00B33A59">
            <w:pPr>
              <w:rPr>
                <w:rFonts w:cs="Arial"/>
                <w:szCs w:val="20"/>
              </w:rPr>
            </w:pPr>
            <w:r w:rsidRPr="00B33A59">
              <w:rPr>
                <w:rFonts w:cs="Arial"/>
                <w:szCs w:val="20"/>
              </w:rPr>
              <w:t>30,3870 fte</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8BE3AD" w14:textId="77777777" w:rsidR="00B33A59" w:rsidRPr="00B33A59" w:rsidRDefault="00B33A59" w:rsidP="00B33A59">
            <w:pPr>
              <w:rPr>
                <w:rFonts w:cs="Arial"/>
                <w:szCs w:val="20"/>
              </w:rPr>
            </w:pPr>
            <w:r w:rsidRPr="00B33A59">
              <w:rPr>
                <w:rFonts w:cs="Arial"/>
                <w:szCs w:val="20"/>
              </w:rPr>
              <w:t>62,24%</w:t>
            </w:r>
          </w:p>
        </w:tc>
      </w:tr>
      <w:tr w:rsidR="00B33A59" w:rsidRPr="00B33A59" w14:paraId="65D5D2B3" w14:textId="77777777" w:rsidTr="00B33A59">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003E173" w14:textId="77777777" w:rsidR="00B33A59" w:rsidRPr="00B33A59" w:rsidRDefault="00B33A59" w:rsidP="00B33A59">
            <w:pPr>
              <w:rPr>
                <w:rFonts w:cs="Arial"/>
                <w:szCs w:val="20"/>
              </w:rPr>
            </w:pPr>
            <w:r w:rsidRPr="00B33A59">
              <w:rPr>
                <w:rFonts w:cs="Arial"/>
                <w:szCs w:val="20"/>
              </w:rPr>
              <w:t>LC</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ECBFBD" w14:textId="77777777" w:rsidR="00B33A59" w:rsidRPr="00B33A59" w:rsidRDefault="00B33A59" w:rsidP="00B33A59">
            <w:pPr>
              <w:rPr>
                <w:rFonts w:cs="Arial"/>
                <w:szCs w:val="20"/>
              </w:rPr>
            </w:pPr>
            <w:r w:rsidRPr="00B33A59">
              <w:rPr>
                <w:rFonts w:cs="Arial"/>
                <w:szCs w:val="20"/>
              </w:rPr>
              <w:t>23,4549 fte</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469A9" w14:textId="77777777" w:rsidR="00B33A59" w:rsidRPr="00B33A59" w:rsidRDefault="00B33A59" w:rsidP="00B33A59">
            <w:pPr>
              <w:rPr>
                <w:rFonts w:cs="Arial"/>
                <w:szCs w:val="20"/>
              </w:rPr>
            </w:pPr>
            <w:r w:rsidRPr="00B33A59">
              <w:rPr>
                <w:rFonts w:cs="Arial"/>
                <w:szCs w:val="20"/>
              </w:rPr>
              <w:t>24,75%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D6547B" w14:textId="77777777" w:rsidR="00B33A59" w:rsidRPr="00B33A59" w:rsidRDefault="00B33A59" w:rsidP="00B33A59">
            <w:pPr>
              <w:rPr>
                <w:rFonts w:cs="Arial"/>
                <w:szCs w:val="20"/>
              </w:rPr>
            </w:pPr>
            <w:r w:rsidRPr="00B33A59">
              <w:rPr>
                <w:rFonts w:cs="Arial"/>
                <w:szCs w:val="20"/>
              </w:rPr>
              <w:t>9,1125 fte</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3D597" w14:textId="77777777" w:rsidR="00B33A59" w:rsidRPr="00B33A59" w:rsidRDefault="00B33A59" w:rsidP="00B33A59">
            <w:pPr>
              <w:rPr>
                <w:rFonts w:cs="Arial"/>
                <w:szCs w:val="20"/>
              </w:rPr>
            </w:pPr>
            <w:r w:rsidRPr="00B33A59">
              <w:rPr>
                <w:rFonts w:cs="Arial"/>
                <w:szCs w:val="20"/>
              </w:rPr>
              <w:t>18,67%</w:t>
            </w:r>
          </w:p>
        </w:tc>
      </w:tr>
      <w:tr w:rsidR="00B33A59" w:rsidRPr="00B33A59" w14:paraId="29F60A18" w14:textId="77777777" w:rsidTr="00B33A59">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011CDB" w14:textId="77777777" w:rsidR="00B33A59" w:rsidRPr="00B33A59" w:rsidRDefault="00B33A59" w:rsidP="00B33A59">
            <w:pPr>
              <w:rPr>
                <w:rFonts w:cs="Arial"/>
                <w:szCs w:val="20"/>
              </w:rPr>
            </w:pPr>
            <w:r w:rsidRPr="00B33A59">
              <w:rPr>
                <w:rFonts w:cs="Arial"/>
                <w:szCs w:val="20"/>
              </w:rPr>
              <w:t>LD</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BCD2C0" w14:textId="77777777" w:rsidR="00B33A59" w:rsidRPr="00B33A59" w:rsidRDefault="00B33A59" w:rsidP="00B33A59">
            <w:pPr>
              <w:rPr>
                <w:rFonts w:cs="Arial"/>
                <w:szCs w:val="20"/>
              </w:rPr>
            </w:pPr>
            <w:r w:rsidRPr="00B33A59">
              <w:rPr>
                <w:rFonts w:cs="Arial"/>
                <w:szCs w:val="20"/>
              </w:rPr>
              <w:t>16,5332 fte</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EDFDBF" w14:textId="77777777" w:rsidR="00B33A59" w:rsidRPr="00B33A59" w:rsidRDefault="00B33A59" w:rsidP="00B33A59">
            <w:pPr>
              <w:rPr>
                <w:rFonts w:cs="Arial"/>
                <w:szCs w:val="20"/>
              </w:rPr>
            </w:pPr>
            <w:r w:rsidRPr="00B33A59">
              <w:rPr>
                <w:rFonts w:cs="Arial"/>
                <w:szCs w:val="20"/>
              </w:rPr>
              <w:t>17,45%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2C54BD" w14:textId="77777777" w:rsidR="00B33A59" w:rsidRPr="00B33A59" w:rsidRDefault="00B33A59" w:rsidP="00B33A59">
            <w:pPr>
              <w:rPr>
                <w:rFonts w:cs="Arial"/>
                <w:szCs w:val="20"/>
              </w:rPr>
            </w:pPr>
            <w:r w:rsidRPr="00B33A59">
              <w:rPr>
                <w:rFonts w:cs="Arial"/>
                <w:szCs w:val="20"/>
              </w:rPr>
              <w:t>9,3193 fte</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BBB405" w14:textId="77777777" w:rsidR="00B33A59" w:rsidRPr="00B33A59" w:rsidRDefault="00B33A59" w:rsidP="00B33A59">
            <w:pPr>
              <w:rPr>
                <w:rFonts w:cs="Arial"/>
                <w:szCs w:val="20"/>
              </w:rPr>
            </w:pPr>
            <w:r w:rsidRPr="00B33A59">
              <w:rPr>
                <w:rFonts w:cs="Arial"/>
                <w:szCs w:val="20"/>
              </w:rPr>
              <w:t>19,09%</w:t>
            </w:r>
          </w:p>
        </w:tc>
      </w:tr>
      <w:tr w:rsidR="00B33A59" w:rsidRPr="00B33A59" w14:paraId="773D9B04" w14:textId="77777777" w:rsidTr="00B33A59">
        <w:trPr>
          <w:trHeight w:val="220"/>
        </w:trPr>
        <w:tc>
          <w:tcPr>
            <w:tcW w:w="2104" w:type="dxa"/>
            <w:tcBorders>
              <w:top w:val="nil"/>
              <w:left w:val="single" w:sz="8" w:space="0" w:color="auto"/>
              <w:bottom w:val="nil"/>
              <w:right w:val="nil"/>
            </w:tcBorders>
            <w:noWrap/>
            <w:tcMar>
              <w:top w:w="0" w:type="dxa"/>
              <w:left w:w="70" w:type="dxa"/>
              <w:bottom w:w="0" w:type="dxa"/>
              <w:right w:w="70" w:type="dxa"/>
            </w:tcMar>
            <w:vAlign w:val="bottom"/>
            <w:hideMark/>
          </w:tcPr>
          <w:p w14:paraId="5EEE123C" w14:textId="77777777" w:rsidR="00B33A59" w:rsidRPr="00B33A59" w:rsidRDefault="00B33A59" w:rsidP="00B33A59">
            <w:pPr>
              <w:rPr>
                <w:rFonts w:cs="Arial"/>
                <w:szCs w:val="20"/>
              </w:rPr>
            </w:pPr>
          </w:p>
        </w:tc>
        <w:tc>
          <w:tcPr>
            <w:tcW w:w="12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3E67A1" w14:textId="77777777" w:rsidR="00B33A59" w:rsidRPr="00B33A59" w:rsidRDefault="00B33A59" w:rsidP="00B33A59">
            <w:pPr>
              <w:rPr>
                <w:rFonts w:cs="Arial"/>
                <w:szCs w:val="20"/>
              </w:rPr>
            </w:pPr>
            <w:r w:rsidRPr="00B33A59">
              <w:rPr>
                <w:rFonts w:cs="Arial"/>
                <w:szCs w:val="20"/>
              </w:rPr>
              <w:t>94,7598 fte</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1A718A" w14:textId="77777777" w:rsidR="00B33A59" w:rsidRPr="00B33A59" w:rsidRDefault="00B33A59" w:rsidP="00B33A59">
            <w:pPr>
              <w:rPr>
                <w:rFonts w:cs="Arial"/>
                <w:szCs w:val="20"/>
              </w:rPr>
            </w:pPr>
            <w:r w:rsidRPr="00B33A59">
              <w:rPr>
                <w:rFonts w:cs="Arial"/>
                <w:szCs w:val="20"/>
              </w:rPr>
              <w:t>100,00%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2A441" w14:textId="77777777" w:rsidR="00B33A59" w:rsidRPr="00B33A59" w:rsidRDefault="00B33A59" w:rsidP="00B33A59">
            <w:pPr>
              <w:rPr>
                <w:rFonts w:cs="Arial"/>
                <w:szCs w:val="20"/>
              </w:rPr>
            </w:pPr>
            <w:r w:rsidRPr="00B33A59">
              <w:rPr>
                <w:rFonts w:cs="Arial"/>
                <w:szCs w:val="20"/>
              </w:rPr>
              <w:t>48,8188</w:t>
            </w:r>
          </w:p>
        </w:tc>
        <w:tc>
          <w:tcPr>
            <w:tcW w:w="11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E44BD2" w14:textId="77777777" w:rsidR="00B33A59" w:rsidRPr="00B33A59" w:rsidRDefault="00B33A59" w:rsidP="00B33A59">
            <w:pPr>
              <w:rPr>
                <w:rFonts w:cs="Arial"/>
                <w:szCs w:val="20"/>
              </w:rPr>
            </w:pPr>
            <w:r w:rsidRPr="00B33A59">
              <w:rPr>
                <w:rFonts w:cs="Arial"/>
                <w:szCs w:val="20"/>
              </w:rPr>
              <w:t>100,00%</w:t>
            </w:r>
          </w:p>
        </w:tc>
      </w:tr>
      <w:tr w:rsidR="00B33A59" w:rsidRPr="00B33A59" w14:paraId="0CDAC799" w14:textId="77777777" w:rsidTr="00B33A59">
        <w:trPr>
          <w:trHeight w:val="220"/>
        </w:trPr>
        <w:tc>
          <w:tcPr>
            <w:tcW w:w="2104" w:type="dxa"/>
            <w:tcBorders>
              <w:top w:val="nil"/>
              <w:left w:val="single" w:sz="8" w:space="0" w:color="auto"/>
              <w:bottom w:val="nil"/>
              <w:right w:val="nil"/>
            </w:tcBorders>
            <w:noWrap/>
            <w:tcMar>
              <w:top w:w="0" w:type="dxa"/>
              <w:left w:w="70" w:type="dxa"/>
              <w:bottom w:w="0" w:type="dxa"/>
              <w:right w:w="70" w:type="dxa"/>
            </w:tcMar>
            <w:vAlign w:val="bottom"/>
            <w:hideMark/>
          </w:tcPr>
          <w:p w14:paraId="1170DF98" w14:textId="77777777" w:rsidR="00B33A59" w:rsidRPr="00B33A59" w:rsidRDefault="00B33A59" w:rsidP="00B33A59">
            <w:pPr>
              <w:rPr>
                <w:rFonts w:cs="Arial"/>
                <w:szCs w:val="20"/>
              </w:rPr>
            </w:pPr>
          </w:p>
        </w:tc>
        <w:tc>
          <w:tcPr>
            <w:tcW w:w="1204" w:type="dxa"/>
            <w:noWrap/>
            <w:tcMar>
              <w:top w:w="0" w:type="dxa"/>
              <w:left w:w="70" w:type="dxa"/>
              <w:bottom w:w="0" w:type="dxa"/>
              <w:right w:w="70" w:type="dxa"/>
            </w:tcMar>
            <w:vAlign w:val="bottom"/>
            <w:hideMark/>
          </w:tcPr>
          <w:p w14:paraId="323E7681" w14:textId="77777777" w:rsidR="00B33A59" w:rsidRPr="00B33A59" w:rsidRDefault="00B33A59" w:rsidP="00B33A59">
            <w:pPr>
              <w:rPr>
                <w:rFonts w:cs="Arial"/>
                <w:szCs w:val="20"/>
              </w:rPr>
            </w:pPr>
          </w:p>
        </w:tc>
        <w:tc>
          <w:tcPr>
            <w:tcW w:w="1227" w:type="dxa"/>
            <w:noWrap/>
            <w:tcMar>
              <w:top w:w="0" w:type="dxa"/>
              <w:left w:w="70" w:type="dxa"/>
              <w:bottom w:w="0" w:type="dxa"/>
              <w:right w:w="70" w:type="dxa"/>
            </w:tcMar>
            <w:vAlign w:val="bottom"/>
            <w:hideMark/>
          </w:tcPr>
          <w:p w14:paraId="2154F3C1" w14:textId="77777777" w:rsidR="00B33A59" w:rsidRPr="00B33A59" w:rsidRDefault="00B33A59" w:rsidP="00B33A59">
            <w:pPr>
              <w:rPr>
                <w:rFonts w:cs="Arial"/>
                <w:szCs w:val="20"/>
              </w:rPr>
            </w:pPr>
          </w:p>
        </w:tc>
        <w:tc>
          <w:tcPr>
            <w:tcW w:w="1308" w:type="dxa"/>
            <w:noWrap/>
            <w:tcMar>
              <w:top w:w="0" w:type="dxa"/>
              <w:left w:w="70" w:type="dxa"/>
              <w:bottom w:w="0" w:type="dxa"/>
              <w:right w:w="70" w:type="dxa"/>
            </w:tcMar>
            <w:vAlign w:val="bottom"/>
            <w:hideMark/>
          </w:tcPr>
          <w:p w14:paraId="5317F221" w14:textId="77777777" w:rsidR="00B33A59" w:rsidRPr="00B33A59" w:rsidRDefault="00B33A59" w:rsidP="00B33A59">
            <w:pPr>
              <w:rPr>
                <w:rFonts w:cs="Arial"/>
                <w:szCs w:val="20"/>
              </w:rPr>
            </w:pPr>
          </w:p>
        </w:tc>
        <w:tc>
          <w:tcPr>
            <w:tcW w:w="1121" w:type="dxa"/>
            <w:tcBorders>
              <w:top w:val="nil"/>
              <w:left w:val="nil"/>
              <w:bottom w:val="nil"/>
              <w:right w:val="single" w:sz="8" w:space="0" w:color="auto"/>
            </w:tcBorders>
            <w:noWrap/>
            <w:tcMar>
              <w:top w:w="0" w:type="dxa"/>
              <w:left w:w="70" w:type="dxa"/>
              <w:bottom w:w="0" w:type="dxa"/>
              <w:right w:w="70" w:type="dxa"/>
            </w:tcMar>
            <w:vAlign w:val="bottom"/>
            <w:hideMark/>
          </w:tcPr>
          <w:p w14:paraId="58B0AC9C" w14:textId="77777777" w:rsidR="00B33A59" w:rsidRPr="00B33A59" w:rsidRDefault="00B33A59" w:rsidP="00B33A59">
            <w:pPr>
              <w:rPr>
                <w:rFonts w:cs="Arial"/>
                <w:szCs w:val="20"/>
              </w:rPr>
            </w:pPr>
          </w:p>
        </w:tc>
      </w:tr>
      <w:tr w:rsidR="00B33A59" w:rsidRPr="00B33A59" w14:paraId="76064E1F" w14:textId="77777777" w:rsidTr="00B33A59">
        <w:trPr>
          <w:trHeight w:val="259"/>
        </w:trPr>
        <w:tc>
          <w:tcPr>
            <w:tcW w:w="2104"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4027F3C7" w14:textId="77777777" w:rsidR="00B33A59" w:rsidRPr="00B33A59" w:rsidRDefault="00B33A59" w:rsidP="00B33A59">
            <w:pPr>
              <w:rPr>
                <w:rFonts w:cs="Arial"/>
                <w:i/>
                <w:iCs/>
                <w:szCs w:val="20"/>
              </w:rPr>
            </w:pPr>
            <w:r w:rsidRPr="00B33A59">
              <w:rPr>
                <w:rFonts w:cs="Arial"/>
                <w:i/>
                <w:iCs/>
                <w:szCs w:val="20"/>
              </w:rPr>
              <w:t>Nog te groeien</w:t>
            </w:r>
          </w:p>
        </w:tc>
        <w:tc>
          <w:tcPr>
            <w:tcW w:w="1204"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7BFDFCD" w14:textId="77777777" w:rsidR="00B33A59" w:rsidRPr="00B33A59" w:rsidRDefault="00B33A59" w:rsidP="00B33A59">
            <w:pPr>
              <w:rPr>
                <w:rFonts w:cs="Arial"/>
                <w:i/>
                <w:iCs/>
                <w:szCs w:val="20"/>
              </w:rPr>
            </w:pPr>
          </w:p>
        </w:tc>
        <w:tc>
          <w:tcPr>
            <w:tcW w:w="1227"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76F99263" w14:textId="77777777" w:rsidR="00B33A59" w:rsidRPr="00B33A59" w:rsidRDefault="00B33A59" w:rsidP="00B33A59">
            <w:pPr>
              <w:rPr>
                <w:rFonts w:cs="Arial"/>
                <w:szCs w:val="20"/>
              </w:rPr>
            </w:pPr>
          </w:p>
        </w:tc>
        <w:tc>
          <w:tcPr>
            <w:tcW w:w="1308"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F71D4C7" w14:textId="77777777" w:rsidR="00B33A59" w:rsidRPr="00B33A59" w:rsidRDefault="00B33A59" w:rsidP="00B33A59">
            <w:pPr>
              <w:rPr>
                <w:rFonts w:cs="Arial"/>
                <w:szCs w:val="20"/>
              </w:rPr>
            </w:pPr>
          </w:p>
        </w:tc>
        <w:tc>
          <w:tcPr>
            <w:tcW w:w="11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FCB707" w14:textId="77777777" w:rsidR="00B33A59" w:rsidRPr="00B33A59" w:rsidRDefault="00B33A59" w:rsidP="00B33A59">
            <w:pPr>
              <w:rPr>
                <w:rFonts w:cs="Arial"/>
                <w:szCs w:val="20"/>
              </w:rPr>
            </w:pPr>
          </w:p>
        </w:tc>
      </w:tr>
      <w:tr w:rsidR="00B33A59" w:rsidRPr="00B33A59" w14:paraId="0B946AB2" w14:textId="77777777" w:rsidTr="00B33A59">
        <w:trPr>
          <w:trHeight w:val="661"/>
        </w:trPr>
        <w:tc>
          <w:tcPr>
            <w:tcW w:w="2104" w:type="dxa"/>
            <w:tcBorders>
              <w:top w:val="nil"/>
              <w:left w:val="single" w:sz="8" w:space="0" w:color="auto"/>
              <w:bottom w:val="nil"/>
              <w:right w:val="nil"/>
            </w:tcBorders>
            <w:noWrap/>
            <w:tcMar>
              <w:top w:w="0" w:type="dxa"/>
              <w:left w:w="70" w:type="dxa"/>
              <w:bottom w:w="0" w:type="dxa"/>
              <w:right w:w="70" w:type="dxa"/>
            </w:tcMar>
            <w:vAlign w:val="bottom"/>
            <w:hideMark/>
          </w:tcPr>
          <w:p w14:paraId="6AEFFF82" w14:textId="77777777" w:rsidR="00B33A59" w:rsidRPr="00B33A59" w:rsidRDefault="00B33A59" w:rsidP="00B33A59">
            <w:pPr>
              <w:rPr>
                <w:rFonts w:cs="Arial"/>
                <w:szCs w:val="20"/>
              </w:rPr>
            </w:pPr>
          </w:p>
        </w:tc>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42A0EFF" w14:textId="77777777" w:rsidR="00B33A59" w:rsidRPr="00B33A59" w:rsidRDefault="00B33A59" w:rsidP="00B33A59">
            <w:pPr>
              <w:rPr>
                <w:rFonts w:cs="Arial"/>
                <w:szCs w:val="20"/>
              </w:rPr>
            </w:pPr>
            <w:r w:rsidRPr="00B33A59">
              <w:rPr>
                <w:rFonts w:cs="Arial"/>
                <w:szCs w:val="20"/>
              </w:rPr>
              <w:t>Te bereiken 2014</w:t>
            </w:r>
          </w:p>
        </w:tc>
        <w:tc>
          <w:tcPr>
            <w:tcW w:w="122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C8E0E5A" w14:textId="77777777" w:rsidR="00B33A59" w:rsidRPr="00B33A59" w:rsidRDefault="00B33A59" w:rsidP="00B33A59">
            <w:pPr>
              <w:rPr>
                <w:rFonts w:cs="Arial"/>
                <w:szCs w:val="20"/>
              </w:rPr>
            </w:pPr>
            <w:r w:rsidRPr="00B33A59">
              <w:rPr>
                <w:rFonts w:cs="Arial"/>
                <w:szCs w:val="20"/>
              </w:rPr>
              <w:t>Verschil 2021 tov 2014</w:t>
            </w:r>
          </w:p>
        </w:tc>
        <w:tc>
          <w:tcPr>
            <w:tcW w:w="130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0C951A2" w14:textId="77777777" w:rsidR="00B33A59" w:rsidRPr="00B33A59" w:rsidRDefault="00B33A59" w:rsidP="00B33A59">
            <w:pPr>
              <w:rPr>
                <w:rFonts w:cs="Arial"/>
                <w:szCs w:val="20"/>
              </w:rPr>
            </w:pPr>
            <w:r w:rsidRPr="00B33A59">
              <w:rPr>
                <w:rFonts w:cs="Arial"/>
                <w:szCs w:val="20"/>
              </w:rPr>
              <w:t>Te groeien FTE</w:t>
            </w:r>
          </w:p>
        </w:tc>
        <w:tc>
          <w:tcPr>
            <w:tcW w:w="1121" w:type="dxa"/>
            <w:tcBorders>
              <w:top w:val="nil"/>
              <w:left w:val="nil"/>
              <w:bottom w:val="nil"/>
              <w:right w:val="single" w:sz="8" w:space="0" w:color="auto"/>
            </w:tcBorders>
            <w:noWrap/>
            <w:tcMar>
              <w:top w:w="0" w:type="dxa"/>
              <w:left w:w="70" w:type="dxa"/>
              <w:bottom w:w="0" w:type="dxa"/>
              <w:right w:w="70" w:type="dxa"/>
            </w:tcMar>
            <w:vAlign w:val="bottom"/>
            <w:hideMark/>
          </w:tcPr>
          <w:p w14:paraId="264DA3DF" w14:textId="77777777" w:rsidR="00B33A59" w:rsidRPr="00B33A59" w:rsidRDefault="00B33A59" w:rsidP="00B33A59">
            <w:pPr>
              <w:rPr>
                <w:rFonts w:cs="Arial"/>
                <w:szCs w:val="20"/>
              </w:rPr>
            </w:pPr>
          </w:p>
        </w:tc>
      </w:tr>
      <w:tr w:rsidR="00B33A59" w:rsidRPr="00B33A59" w14:paraId="68A65D29" w14:textId="77777777" w:rsidTr="00B33A59">
        <w:trPr>
          <w:trHeight w:val="220"/>
        </w:trPr>
        <w:tc>
          <w:tcPr>
            <w:tcW w:w="21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CDE97B" w14:textId="77777777" w:rsidR="00B33A59" w:rsidRPr="00B33A59" w:rsidRDefault="00B33A59" w:rsidP="00B33A59">
            <w:pPr>
              <w:rPr>
                <w:rFonts w:cs="Arial"/>
                <w:szCs w:val="20"/>
              </w:rPr>
            </w:pPr>
            <w:r w:rsidRPr="00B33A59">
              <w:rPr>
                <w:rFonts w:cs="Arial"/>
                <w:szCs w:val="20"/>
              </w:rPr>
              <w:t xml:space="preserve">LB </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830414" w14:textId="77777777" w:rsidR="00B33A59" w:rsidRPr="00B33A59" w:rsidRDefault="00B33A59" w:rsidP="00B33A59">
            <w:pPr>
              <w:rPr>
                <w:rFonts w:cs="Arial"/>
                <w:szCs w:val="20"/>
              </w:rPr>
            </w:pPr>
            <w:r w:rsidRPr="00B33A59">
              <w:rPr>
                <w:rFonts w:cs="Arial"/>
                <w:szCs w:val="20"/>
              </w:rPr>
              <w:t>47,70%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40386C" w14:textId="77777777" w:rsidR="00B33A59" w:rsidRPr="00B33A59" w:rsidRDefault="00B33A59" w:rsidP="00B33A59">
            <w:pPr>
              <w:rPr>
                <w:rFonts w:cs="Arial"/>
                <w:szCs w:val="20"/>
              </w:rPr>
            </w:pPr>
            <w:r w:rsidRPr="00B33A59">
              <w:rPr>
                <w:rFonts w:cs="Arial"/>
                <w:szCs w:val="20"/>
              </w:rPr>
              <w:t>13,61%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C17A2D" w14:textId="77777777" w:rsidR="00B33A59" w:rsidRPr="00B33A59" w:rsidRDefault="00B33A59" w:rsidP="00B33A59">
            <w:pPr>
              <w:rPr>
                <w:rFonts w:cs="Arial"/>
                <w:szCs w:val="20"/>
              </w:rPr>
            </w:pPr>
          </w:p>
        </w:tc>
        <w:tc>
          <w:tcPr>
            <w:tcW w:w="1121" w:type="dxa"/>
            <w:tcBorders>
              <w:top w:val="nil"/>
              <w:left w:val="nil"/>
              <w:bottom w:val="nil"/>
              <w:right w:val="single" w:sz="8" w:space="0" w:color="auto"/>
            </w:tcBorders>
            <w:noWrap/>
            <w:tcMar>
              <w:top w:w="0" w:type="dxa"/>
              <w:left w:w="70" w:type="dxa"/>
              <w:bottom w:w="0" w:type="dxa"/>
              <w:right w:w="70" w:type="dxa"/>
            </w:tcMar>
            <w:vAlign w:val="bottom"/>
            <w:hideMark/>
          </w:tcPr>
          <w:p w14:paraId="6578DC40" w14:textId="77777777" w:rsidR="00B33A59" w:rsidRPr="00B33A59" w:rsidRDefault="00B33A59" w:rsidP="00B33A59">
            <w:pPr>
              <w:rPr>
                <w:rFonts w:cs="Arial"/>
                <w:szCs w:val="20"/>
              </w:rPr>
            </w:pPr>
          </w:p>
        </w:tc>
      </w:tr>
      <w:tr w:rsidR="00B33A59" w:rsidRPr="00B33A59" w14:paraId="3BBC8FA6" w14:textId="77777777" w:rsidTr="008F0288">
        <w:trPr>
          <w:trHeight w:val="220"/>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50ECE6" w14:textId="77777777" w:rsidR="00B33A59" w:rsidRPr="00B33A59" w:rsidRDefault="00B33A59" w:rsidP="00B33A59">
            <w:pPr>
              <w:rPr>
                <w:rFonts w:cs="Arial"/>
                <w:szCs w:val="20"/>
              </w:rPr>
            </w:pPr>
            <w:r w:rsidRPr="00B33A59">
              <w:rPr>
                <w:rFonts w:cs="Arial"/>
                <w:szCs w:val="20"/>
              </w:rPr>
              <w:t>LC</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9D08D3" w14:textId="77777777" w:rsidR="00B33A59" w:rsidRPr="00B33A59" w:rsidRDefault="00B33A59" w:rsidP="00B33A59">
            <w:pPr>
              <w:rPr>
                <w:rFonts w:cs="Arial"/>
                <w:szCs w:val="20"/>
              </w:rPr>
            </w:pPr>
            <w:r w:rsidRPr="00B33A59">
              <w:rPr>
                <w:rFonts w:cs="Arial"/>
                <w:szCs w:val="20"/>
              </w:rPr>
              <w:t>23,70%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685541" w14:textId="77777777" w:rsidR="00B33A59" w:rsidRPr="00B33A59" w:rsidRDefault="00B33A59" w:rsidP="00B33A59">
            <w:pPr>
              <w:rPr>
                <w:rFonts w:cs="Arial"/>
                <w:szCs w:val="20"/>
              </w:rPr>
            </w:pPr>
            <w:r w:rsidRPr="00B33A59">
              <w:rPr>
                <w:rFonts w:cs="Arial"/>
                <w:szCs w:val="20"/>
              </w:rPr>
              <w:t>-0,62%</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C9B66D8" w14:textId="77777777" w:rsidR="00B33A59" w:rsidRPr="00B33A59" w:rsidRDefault="00B33A59" w:rsidP="00B33A59">
            <w:pPr>
              <w:rPr>
                <w:rFonts w:cs="Arial"/>
                <w:szCs w:val="20"/>
              </w:rPr>
            </w:pPr>
            <w:r w:rsidRPr="00B33A59">
              <w:rPr>
                <w:rFonts w:cs="Arial"/>
                <w:szCs w:val="20"/>
              </w:rPr>
              <w:t>0,8909 fte</w:t>
            </w:r>
          </w:p>
        </w:tc>
        <w:tc>
          <w:tcPr>
            <w:tcW w:w="1121"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50C54A34" w14:textId="77777777" w:rsidR="00B33A59" w:rsidRPr="00B33A59" w:rsidRDefault="00B33A59" w:rsidP="00B33A59">
            <w:pPr>
              <w:rPr>
                <w:rFonts w:cs="Arial"/>
                <w:szCs w:val="20"/>
              </w:rPr>
            </w:pPr>
          </w:p>
        </w:tc>
      </w:tr>
      <w:tr w:rsidR="00B33A59" w:rsidRPr="00B33A59" w14:paraId="688072E3" w14:textId="77777777" w:rsidTr="008F0288">
        <w:trPr>
          <w:trHeight w:val="233"/>
        </w:trPr>
        <w:tc>
          <w:tcPr>
            <w:tcW w:w="21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DF9637" w14:textId="77777777" w:rsidR="00B33A59" w:rsidRPr="00B33A59" w:rsidRDefault="00B33A59" w:rsidP="00B33A59">
            <w:pPr>
              <w:rPr>
                <w:rFonts w:cs="Arial"/>
                <w:szCs w:val="20"/>
              </w:rPr>
            </w:pPr>
            <w:r w:rsidRPr="00B33A59">
              <w:rPr>
                <w:rFonts w:cs="Arial"/>
                <w:szCs w:val="20"/>
              </w:rPr>
              <w:t>LD</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29DB0" w14:textId="77777777" w:rsidR="00B33A59" w:rsidRPr="00B33A59" w:rsidRDefault="00B33A59" w:rsidP="00B33A59">
            <w:pPr>
              <w:rPr>
                <w:rFonts w:cs="Arial"/>
                <w:szCs w:val="20"/>
              </w:rPr>
            </w:pPr>
            <w:r w:rsidRPr="00B33A59">
              <w:rPr>
                <w:rFonts w:cs="Arial"/>
                <w:szCs w:val="20"/>
              </w:rPr>
              <w:t>28,60%</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B83D62" w14:textId="77777777" w:rsidR="00B33A59" w:rsidRPr="00B33A59" w:rsidRDefault="00B33A59" w:rsidP="00B33A59">
            <w:pPr>
              <w:rPr>
                <w:rFonts w:cs="Arial"/>
                <w:szCs w:val="20"/>
              </w:rPr>
            </w:pPr>
            <w:r w:rsidRPr="00B33A59">
              <w:rPr>
                <w:rFonts w:cs="Arial"/>
                <w:szCs w:val="20"/>
              </w:rPr>
              <w:t>-10,09%</w:t>
            </w:r>
          </w:p>
        </w:tc>
        <w:tc>
          <w:tcPr>
            <w:tcW w:w="130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1117A748" w14:textId="77777777" w:rsidR="00B33A59" w:rsidRPr="00B33A59" w:rsidRDefault="00B33A59" w:rsidP="00B33A59">
            <w:pPr>
              <w:rPr>
                <w:rFonts w:cs="Arial"/>
                <w:szCs w:val="20"/>
              </w:rPr>
            </w:pPr>
            <w:r w:rsidRPr="00B33A59">
              <w:rPr>
                <w:rFonts w:cs="Arial"/>
                <w:szCs w:val="20"/>
              </w:rPr>
              <w:t>14,4870 fte</w:t>
            </w:r>
          </w:p>
        </w:tc>
        <w:tc>
          <w:tcPr>
            <w:tcW w:w="112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3791DFE" w14:textId="77777777" w:rsidR="00B33A59" w:rsidRPr="00B33A59" w:rsidRDefault="00B33A59" w:rsidP="00B33A59">
            <w:pPr>
              <w:rPr>
                <w:rFonts w:cs="Arial"/>
                <w:szCs w:val="20"/>
              </w:rPr>
            </w:pPr>
          </w:p>
        </w:tc>
      </w:tr>
    </w:tbl>
    <w:p w14:paraId="22C45199" w14:textId="77777777" w:rsidR="00B33A59" w:rsidRPr="00B33A59" w:rsidRDefault="00B33A59" w:rsidP="00B33A59">
      <w:pPr>
        <w:rPr>
          <w:rFonts w:cs="Arial"/>
          <w:szCs w:val="20"/>
        </w:rPr>
      </w:pPr>
    </w:p>
    <w:p w14:paraId="4F7A70BB" w14:textId="77777777" w:rsidR="00B33A59" w:rsidRPr="00E56D17" w:rsidRDefault="00B33A59" w:rsidP="00E56D17">
      <w:pPr>
        <w:rPr>
          <w:rFonts w:cs="Arial"/>
          <w:szCs w:val="20"/>
        </w:rPr>
      </w:pPr>
    </w:p>
    <w:p w14:paraId="23CA039A" w14:textId="1A2A8DB2" w:rsidR="00E56D17" w:rsidRPr="007E0F4B" w:rsidRDefault="00E56D17" w:rsidP="00E56D17">
      <w:pPr>
        <w:rPr>
          <w:rFonts w:cs="Arial"/>
          <w:szCs w:val="20"/>
        </w:rPr>
      </w:pPr>
      <w:r w:rsidRPr="00E56D17">
        <w:rPr>
          <w:rFonts w:cs="Arial"/>
          <w:szCs w:val="20"/>
        </w:rPr>
        <w:t xml:space="preserve">Uit de bovenstaande tabel blijkt dat de huidige LC-formatie in lijn is met het streefpercentage uit 2014. </w:t>
      </w:r>
      <w:r w:rsidRPr="007E0F4B">
        <w:rPr>
          <w:rFonts w:cs="Arial"/>
          <w:szCs w:val="20"/>
        </w:rPr>
        <w:t>Duidelijk is ook dat er nog een opgave is met betrekking op de LD-formatie.</w:t>
      </w:r>
      <w:r w:rsidR="00205BEF" w:rsidRPr="007E0F4B">
        <w:rPr>
          <w:rFonts w:cs="Arial"/>
          <w:szCs w:val="20"/>
        </w:rPr>
        <w:t xml:space="preserve"> </w:t>
      </w:r>
    </w:p>
    <w:p w14:paraId="17F90310" w14:textId="77777777" w:rsidR="00E56D17" w:rsidRDefault="00E56D17" w:rsidP="00E56D17">
      <w:pPr>
        <w:rPr>
          <w:rFonts w:cs="Arial"/>
          <w:szCs w:val="20"/>
        </w:rPr>
      </w:pPr>
      <w:r w:rsidRPr="00E56D17">
        <w:rPr>
          <w:rFonts w:cs="Arial"/>
          <w:szCs w:val="20"/>
        </w:rPr>
        <w:t>Op 1 oktober 2021 wordt een nieuwe meting verricht. Op basis van de resultaten uit die meting maken de directie en de GMR in een nieuw meerjarenplan afspraken over het bereiken van de streefpercentages uit 2014. Gelet op de moeilijke financiële situatie van stichting, zal de inzet van de directie zijn om voorzichtig, dat wil zeggen in stapjes van enkele jaren, toe te werken naar de realisatie van de vereiste streefpercentages.</w:t>
      </w:r>
    </w:p>
    <w:p w14:paraId="46F747AA" w14:textId="77777777" w:rsidR="008978E5" w:rsidRDefault="008978E5">
      <w:pPr>
        <w:spacing w:after="160" w:line="259" w:lineRule="auto"/>
        <w:rPr>
          <w:rFonts w:cs="Arial"/>
          <w:szCs w:val="20"/>
        </w:rPr>
      </w:pPr>
      <w:r>
        <w:rPr>
          <w:rFonts w:cs="Arial"/>
          <w:szCs w:val="20"/>
        </w:rPr>
        <w:br w:type="page"/>
      </w:r>
    </w:p>
    <w:p w14:paraId="17853035" w14:textId="77777777" w:rsidR="008978E5" w:rsidRPr="00E56D17" w:rsidRDefault="008978E5" w:rsidP="00E56D17">
      <w:pPr>
        <w:rPr>
          <w:rFonts w:cs="Arial"/>
          <w:szCs w:val="20"/>
        </w:rPr>
      </w:pPr>
    </w:p>
    <w:p w14:paraId="6B9726DC" w14:textId="77777777" w:rsidR="003D0004" w:rsidRPr="003D0004" w:rsidRDefault="003D0004" w:rsidP="009E0FD0">
      <w:pPr>
        <w:rPr>
          <w:rFonts w:eastAsiaTheme="majorEastAsia" w:cstheme="majorBidi"/>
          <w:b/>
          <w:color w:val="005B82"/>
          <w:sz w:val="24"/>
          <w:szCs w:val="26"/>
        </w:rPr>
      </w:pPr>
    </w:p>
    <w:p w14:paraId="20BABC50" w14:textId="77777777" w:rsidR="002038D4" w:rsidRPr="00F84569" w:rsidRDefault="00F84569" w:rsidP="006041A9">
      <w:pPr>
        <w:pStyle w:val="Kop1"/>
        <w:keepLines w:val="0"/>
        <w:numPr>
          <w:ilvl w:val="0"/>
          <w:numId w:val="29"/>
        </w:numPr>
        <w:spacing w:before="120" w:after="240"/>
        <w:rPr>
          <w:rFonts w:cs="Arial"/>
          <w:color w:val="2F5496"/>
        </w:rPr>
      </w:pPr>
      <w:bookmarkStart w:id="31" w:name="_Toc69995013"/>
      <w:r w:rsidRPr="00F84569">
        <w:rPr>
          <w:rFonts w:cs="Arial"/>
          <w:color w:val="2F5496"/>
        </w:rPr>
        <w:t>Algemene kaders van het formatieplan</w:t>
      </w:r>
      <w:bookmarkEnd w:id="31"/>
      <w:r w:rsidRPr="00F84569">
        <w:rPr>
          <w:rFonts w:cs="Arial"/>
          <w:color w:val="2F5496"/>
        </w:rPr>
        <w:t xml:space="preserve"> </w:t>
      </w:r>
    </w:p>
    <w:p w14:paraId="36D6FC3D" w14:textId="324A072A" w:rsidR="003D0004" w:rsidRDefault="002D076D" w:rsidP="002D076D">
      <w:pPr>
        <w:pStyle w:val="Kop2"/>
      </w:pPr>
      <w:bookmarkStart w:id="32" w:name="_Toc69995014"/>
      <w:r>
        <w:t xml:space="preserve">6.1 </w:t>
      </w:r>
      <w:r w:rsidR="003D0004" w:rsidRPr="00CF02F3">
        <w:t xml:space="preserve">Uitkomsten formatieproces </w:t>
      </w:r>
      <w:r w:rsidR="003D0004">
        <w:t>(fte / EURO)</w:t>
      </w:r>
      <w:bookmarkEnd w:id="32"/>
    </w:p>
    <w:p w14:paraId="70978C52" w14:textId="77777777" w:rsidR="0042317F" w:rsidRPr="0042317F" w:rsidRDefault="0042317F" w:rsidP="002D076D">
      <w:pPr>
        <w:pStyle w:val="Kop2"/>
        <w:ind w:left="360"/>
      </w:pPr>
    </w:p>
    <w:p w14:paraId="00EF0FAB" w14:textId="77777777" w:rsidR="0042317F" w:rsidRDefault="003D0004" w:rsidP="002D076D">
      <w:pPr>
        <w:pStyle w:val="Kop2"/>
      </w:pPr>
      <w:bookmarkStart w:id="33" w:name="_Toc69995015"/>
      <w:r w:rsidRPr="00CF02F3">
        <w:t>Geactualiseerde prognose leerlingenaantal</w:t>
      </w:r>
      <w:bookmarkEnd w:id="33"/>
    </w:p>
    <w:p w14:paraId="6E38B98F" w14:textId="30E5D5FB" w:rsidR="00AB751F" w:rsidRPr="00FA6414" w:rsidRDefault="00AB751F" w:rsidP="00AB751F">
      <w:pPr>
        <w:spacing w:line="298" w:lineRule="auto"/>
        <w:rPr>
          <w:szCs w:val="20"/>
        </w:rPr>
      </w:pPr>
      <w:r w:rsidRPr="00F84270">
        <w:rPr>
          <w:szCs w:val="20"/>
        </w:rPr>
        <w:t xml:space="preserve">Onderstaande tabel </w:t>
      </w:r>
      <w:r w:rsidR="00F84270" w:rsidRPr="00F84270">
        <w:rPr>
          <w:szCs w:val="20"/>
        </w:rPr>
        <w:t>5</w:t>
      </w:r>
      <w:r w:rsidRPr="00F84270">
        <w:rPr>
          <w:szCs w:val="20"/>
        </w:rPr>
        <w:t xml:space="preserve">.1 laat de ontwikkeling zien van het aantal leerlingen en de effecten daarvan op de </w:t>
      </w:r>
      <w:r w:rsidRPr="00AB751F">
        <w:rPr>
          <w:szCs w:val="20"/>
        </w:rPr>
        <w:t>bijstelling van de beschikbare formatie binnen de stichting en eenheden. Hierbij wordt gerekend met de formule: bijstelling formatie = aantal leerling</w:t>
      </w:r>
      <w:r w:rsidR="006D3F43">
        <w:rPr>
          <w:szCs w:val="20"/>
        </w:rPr>
        <w:t>en boven/onder de begroting / 13</w:t>
      </w:r>
      <w:r w:rsidR="006367D0">
        <w:rPr>
          <w:szCs w:val="20"/>
        </w:rPr>
        <w:t xml:space="preserve"> (PRO /6)</w:t>
      </w:r>
      <w:r w:rsidR="00D41CB3">
        <w:rPr>
          <w:szCs w:val="20"/>
        </w:rPr>
        <w:t xml:space="preserve">. </w:t>
      </w:r>
      <w:r w:rsidR="00D41CB3" w:rsidRPr="00FA6414">
        <w:rPr>
          <w:szCs w:val="20"/>
        </w:rPr>
        <w:t>Omdat zowel Kampen als Dronten stijgt t.o.v. het begrote aantal leerlingen stijgen de Foleta budgetten en daaraan verbonden de loonkosten OP, dit legt extra druk op de begroting 2021 van de Stichting.</w:t>
      </w:r>
    </w:p>
    <w:p w14:paraId="113383C3" w14:textId="77777777" w:rsidR="00AB751F" w:rsidRPr="00AB751F" w:rsidRDefault="00AB751F" w:rsidP="00AB751F">
      <w:pPr>
        <w:spacing w:line="298" w:lineRule="auto"/>
        <w:rPr>
          <w:szCs w:val="20"/>
        </w:rPr>
      </w:pPr>
    </w:p>
    <w:p w14:paraId="00528292" w14:textId="77777777" w:rsidR="00AB751F" w:rsidRPr="00AB751F" w:rsidRDefault="00AB751F" w:rsidP="00AB751F">
      <w:pPr>
        <w:spacing w:line="298" w:lineRule="auto"/>
        <w:rPr>
          <w:szCs w:val="20"/>
        </w:rPr>
      </w:pPr>
      <w:r w:rsidRPr="00AB751F">
        <w:rPr>
          <w:szCs w:val="20"/>
        </w:rPr>
        <w:t>Tabel 5.1</w:t>
      </w:r>
    </w:p>
    <w:p w14:paraId="7867CD63" w14:textId="1FF62A41" w:rsidR="00AB751F" w:rsidRPr="00AB751F" w:rsidRDefault="006367D0" w:rsidP="00AB751F">
      <w:pPr>
        <w:spacing w:line="298" w:lineRule="auto"/>
        <w:rPr>
          <w:szCs w:val="20"/>
        </w:rPr>
      </w:pPr>
      <w:r w:rsidRPr="006367D0">
        <w:rPr>
          <w:noProof/>
          <w:lang w:eastAsia="nl-NL"/>
        </w:rPr>
        <w:drawing>
          <wp:inline distT="0" distB="0" distL="0" distR="0" wp14:anchorId="1328FB31" wp14:editId="0A9B3194">
            <wp:extent cx="6120765" cy="949522"/>
            <wp:effectExtent l="0" t="0" r="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949522"/>
                    </a:xfrm>
                    <a:prstGeom prst="rect">
                      <a:avLst/>
                    </a:prstGeom>
                    <a:noFill/>
                    <a:ln>
                      <a:noFill/>
                    </a:ln>
                  </pic:spPr>
                </pic:pic>
              </a:graphicData>
            </a:graphic>
          </wp:inline>
        </w:drawing>
      </w:r>
    </w:p>
    <w:p w14:paraId="413F5191" w14:textId="77777777" w:rsidR="0042317F" w:rsidRDefault="0042317F" w:rsidP="0042317F">
      <w:pPr>
        <w:pStyle w:val="Lijstalinea"/>
      </w:pPr>
    </w:p>
    <w:p w14:paraId="3529009E" w14:textId="77777777" w:rsidR="003D0004" w:rsidRPr="00CF02F3" w:rsidRDefault="003D0004" w:rsidP="0042317F">
      <w:pPr>
        <w:pStyle w:val="Kop2"/>
      </w:pPr>
      <w:r w:rsidRPr="00CF02F3">
        <w:t xml:space="preserve">         </w:t>
      </w:r>
    </w:p>
    <w:p w14:paraId="0109782E" w14:textId="0E8BFF8D" w:rsidR="003D0004" w:rsidRDefault="002D076D" w:rsidP="002D076D">
      <w:pPr>
        <w:pStyle w:val="Kop2"/>
      </w:pPr>
      <w:bookmarkStart w:id="34" w:name="_Toc69995016"/>
      <w:r>
        <w:t xml:space="preserve">6.2 </w:t>
      </w:r>
      <w:r w:rsidR="003D0004" w:rsidRPr="00CF02F3">
        <w:t>Bijgestelde formatiebudgetten per (sub)eenheid</w:t>
      </w:r>
      <w:bookmarkEnd w:id="34"/>
      <w:r w:rsidR="003D0004" w:rsidRPr="00CF02F3">
        <w:t xml:space="preserve">              </w:t>
      </w:r>
    </w:p>
    <w:p w14:paraId="63543AD3" w14:textId="77777777" w:rsidR="00AB751F" w:rsidRDefault="00AB751F" w:rsidP="00AB751F">
      <w:pPr>
        <w:spacing w:line="298" w:lineRule="auto"/>
        <w:rPr>
          <w:szCs w:val="20"/>
        </w:rPr>
      </w:pPr>
      <w:r w:rsidRPr="00E34C0A">
        <w:rPr>
          <w:szCs w:val="20"/>
        </w:rPr>
        <w:t>Onderstaande tabel laat de formatiebudgetten voor schooljaar 202</w:t>
      </w:r>
      <w:r w:rsidR="00E34C0A" w:rsidRPr="00E34C0A">
        <w:rPr>
          <w:szCs w:val="20"/>
        </w:rPr>
        <w:t>1</w:t>
      </w:r>
      <w:r w:rsidRPr="00E34C0A">
        <w:rPr>
          <w:szCs w:val="20"/>
        </w:rPr>
        <w:t>-202</w:t>
      </w:r>
      <w:r w:rsidR="00E34C0A" w:rsidRPr="00E34C0A">
        <w:rPr>
          <w:szCs w:val="20"/>
        </w:rPr>
        <w:t>2</w:t>
      </w:r>
      <w:r w:rsidRPr="00E34C0A">
        <w:rPr>
          <w:szCs w:val="20"/>
        </w:rPr>
        <w:t xml:space="preserve"> zien die in Foleta worden ingevuld, voor OP, OOP en directie. Voor ziektevervanging is 1% gebudgetteerd, deze houden we voor het </w:t>
      </w:r>
      <w:r w:rsidRPr="00AB751F">
        <w:rPr>
          <w:szCs w:val="20"/>
        </w:rPr>
        <w:t xml:space="preserve">formatieproces buiten beschouwing, zodat het budget beschikbaar blijft lopende een schooljaar en niet wordt ingezet in dit formatieproces. In principe zijn de aangegeven fte’s variabel en afhankelijk van de keuze die in het formatieproces worden gemaakt. Uiteraard ligt de focus voornamelijk op het onderwijzend personeel (OP). Afhankelijk van de ontwikkeling van de leerlingenaantallen kan het budget wijzigen. Ook kan het zijn dat zich tijdens het formatieproces diverse calamiteiten/formatiefricties voordoen, in overleg met de directie van het Ichthus wordt dan bepaald of de genoemde </w:t>
      </w:r>
      <w:r w:rsidR="0084555F">
        <w:rPr>
          <w:szCs w:val="20"/>
        </w:rPr>
        <w:t>inhoudingen</w:t>
      </w:r>
      <w:r w:rsidRPr="00AB751F">
        <w:rPr>
          <w:szCs w:val="20"/>
        </w:rPr>
        <w:t xml:space="preserve"> </w:t>
      </w:r>
      <w:r w:rsidRPr="00E34C0A">
        <w:rPr>
          <w:szCs w:val="20"/>
        </w:rPr>
        <w:t xml:space="preserve">(zie </w:t>
      </w:r>
      <w:r w:rsidR="0084555F" w:rsidRPr="00E34C0A">
        <w:rPr>
          <w:szCs w:val="20"/>
        </w:rPr>
        <w:t>6.4</w:t>
      </w:r>
      <w:r w:rsidRPr="00E34C0A">
        <w:rPr>
          <w:szCs w:val="20"/>
        </w:rPr>
        <w:t xml:space="preserve">) </w:t>
      </w:r>
      <w:r w:rsidRPr="00AB751F">
        <w:rPr>
          <w:szCs w:val="20"/>
        </w:rPr>
        <w:t>zullen worden benut.</w:t>
      </w:r>
    </w:p>
    <w:p w14:paraId="3161A0BF" w14:textId="77777777" w:rsidR="001C2BF3" w:rsidRDefault="001C2BF3" w:rsidP="00AB751F">
      <w:pPr>
        <w:spacing w:line="298" w:lineRule="auto"/>
        <w:rPr>
          <w:szCs w:val="20"/>
        </w:rPr>
      </w:pPr>
    </w:p>
    <w:p w14:paraId="09609A81" w14:textId="77777777" w:rsidR="001C2BF3" w:rsidRPr="00E34C0A" w:rsidRDefault="001C2BF3" w:rsidP="00AB751F">
      <w:pPr>
        <w:spacing w:line="298" w:lineRule="auto"/>
        <w:rPr>
          <w:i/>
          <w:szCs w:val="20"/>
        </w:rPr>
      </w:pPr>
      <w:r w:rsidRPr="00E34C0A">
        <w:rPr>
          <w:i/>
          <w:szCs w:val="20"/>
        </w:rPr>
        <w:t>Onderstaande tabel zijn de formatiebudgetten exclusief de extra gelden voor IOP, hulp in de klas en NOP.</w:t>
      </w:r>
    </w:p>
    <w:p w14:paraId="5A13F58B" w14:textId="77777777" w:rsidR="00AB751F" w:rsidRPr="00AB751F" w:rsidRDefault="00AB751F" w:rsidP="00AB751F">
      <w:pPr>
        <w:spacing w:line="298" w:lineRule="auto"/>
        <w:rPr>
          <w:noProof/>
          <w:szCs w:val="20"/>
        </w:rPr>
      </w:pPr>
    </w:p>
    <w:p w14:paraId="37A4DD2E" w14:textId="542C0830" w:rsidR="00E34C0A" w:rsidRDefault="006367D0">
      <w:pPr>
        <w:spacing w:after="160" w:line="259" w:lineRule="auto"/>
      </w:pPr>
      <w:r w:rsidRPr="006367D0">
        <w:rPr>
          <w:noProof/>
          <w:lang w:eastAsia="nl-NL"/>
        </w:rPr>
        <w:drawing>
          <wp:inline distT="0" distB="0" distL="0" distR="0" wp14:anchorId="6F77B695" wp14:editId="5A26DDA3">
            <wp:extent cx="3198151" cy="2331720"/>
            <wp:effectExtent l="0" t="0" r="254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333" cy="2333311"/>
                    </a:xfrm>
                    <a:prstGeom prst="rect">
                      <a:avLst/>
                    </a:prstGeom>
                    <a:noFill/>
                    <a:ln>
                      <a:noFill/>
                    </a:ln>
                  </pic:spPr>
                </pic:pic>
              </a:graphicData>
            </a:graphic>
          </wp:inline>
        </w:drawing>
      </w:r>
      <w:r w:rsidR="00E34C0A">
        <w:br w:type="page"/>
      </w:r>
    </w:p>
    <w:p w14:paraId="4AC60A52" w14:textId="77777777" w:rsidR="0042317F" w:rsidRPr="0042317F" w:rsidRDefault="0042317F" w:rsidP="0042317F"/>
    <w:p w14:paraId="2A86D91C" w14:textId="249E274A" w:rsidR="003D0004" w:rsidRDefault="002D076D" w:rsidP="002D076D">
      <w:pPr>
        <w:pStyle w:val="Kop2"/>
      </w:pPr>
      <w:bookmarkStart w:id="35" w:name="_Toc69995017"/>
      <w:r>
        <w:t xml:space="preserve">6.3 </w:t>
      </w:r>
      <w:r w:rsidR="003D0004" w:rsidRPr="00CF02F3">
        <w:t>Stand van zaken formatieproces</w:t>
      </w:r>
      <w:bookmarkEnd w:id="35"/>
      <w:r w:rsidR="003D0004" w:rsidRPr="00CF02F3">
        <w:t>             </w:t>
      </w:r>
    </w:p>
    <w:p w14:paraId="1243E18A" w14:textId="77777777" w:rsidR="00AB751F" w:rsidRPr="00AB751F" w:rsidRDefault="00AB751F" w:rsidP="00AB751F">
      <w:pPr>
        <w:spacing w:line="298" w:lineRule="auto"/>
        <w:ind w:left="5"/>
        <w:rPr>
          <w:color w:val="FF0000"/>
          <w:szCs w:val="20"/>
        </w:rPr>
      </w:pPr>
      <w:r w:rsidRPr="00AB751F">
        <w:rPr>
          <w:szCs w:val="20"/>
        </w:rPr>
        <w:t xml:space="preserve">De stichting Ichthus College heeft op basis van het geprognosticeerde leerlingenaantal een begroting opgesteld. </w:t>
      </w:r>
      <w:r w:rsidRPr="00E34C0A">
        <w:rPr>
          <w:szCs w:val="20"/>
        </w:rPr>
        <w:t>Voor 202</w:t>
      </w:r>
      <w:r w:rsidR="00E34C0A" w:rsidRPr="00E34C0A">
        <w:rPr>
          <w:szCs w:val="20"/>
        </w:rPr>
        <w:t>1</w:t>
      </w:r>
      <w:r w:rsidRPr="00E34C0A">
        <w:rPr>
          <w:szCs w:val="20"/>
        </w:rPr>
        <w:t xml:space="preserve"> is gerekend met een </w:t>
      </w:r>
      <w:r w:rsidR="00E34C0A" w:rsidRPr="00E34C0A">
        <w:rPr>
          <w:szCs w:val="20"/>
        </w:rPr>
        <w:t>sluitende begroting voor de stichting Ichthus College.</w:t>
      </w:r>
      <w:r w:rsidRPr="00E34C0A">
        <w:rPr>
          <w:szCs w:val="20"/>
        </w:rPr>
        <w:t xml:space="preserve"> </w:t>
      </w:r>
    </w:p>
    <w:p w14:paraId="513020DB" w14:textId="77777777" w:rsidR="00AB751F" w:rsidRPr="00AB751F" w:rsidRDefault="00AB751F" w:rsidP="00AB751F">
      <w:pPr>
        <w:spacing w:line="298" w:lineRule="auto"/>
        <w:ind w:left="5"/>
        <w:rPr>
          <w:szCs w:val="20"/>
        </w:rPr>
      </w:pPr>
      <w:r w:rsidRPr="00AB751F">
        <w:rPr>
          <w:szCs w:val="20"/>
        </w:rPr>
        <w:t xml:space="preserve">Tijdens het formatie proces is voor elke (sub)eenheid op basis van de begroting de beschikbare formatie vastgesteld. De begroting 2021 is leidend voor het formatieplan 2021-2022. </w:t>
      </w:r>
    </w:p>
    <w:p w14:paraId="3E695477" w14:textId="77777777" w:rsidR="00AB751F" w:rsidRPr="00AB751F" w:rsidRDefault="00AB751F" w:rsidP="00AB751F">
      <w:pPr>
        <w:spacing w:line="298" w:lineRule="auto"/>
        <w:ind w:left="5"/>
        <w:rPr>
          <w:szCs w:val="20"/>
        </w:rPr>
      </w:pPr>
      <w:r w:rsidRPr="00AB751F">
        <w:rPr>
          <w:szCs w:val="20"/>
        </w:rPr>
        <w:t>In onderstaande tabel worden de formatiebudgetten per eenheid weergegeven, deze worden in Foleta ingevuld.  Onderstaande tabel maakt het volgende zichtbaar:</w:t>
      </w:r>
    </w:p>
    <w:p w14:paraId="69DA2A13" w14:textId="77777777" w:rsidR="00AB751F" w:rsidRPr="00AB751F" w:rsidRDefault="00AB751F" w:rsidP="005A4B0C">
      <w:pPr>
        <w:numPr>
          <w:ilvl w:val="0"/>
          <w:numId w:val="11"/>
        </w:numPr>
        <w:spacing w:after="5" w:line="298" w:lineRule="auto"/>
        <w:contextualSpacing/>
        <w:rPr>
          <w:szCs w:val="20"/>
        </w:rPr>
      </w:pPr>
      <w:r w:rsidRPr="00AB751F">
        <w:rPr>
          <w:szCs w:val="20"/>
        </w:rPr>
        <w:t xml:space="preserve">de netto inzetbaarheid van het onderwijzend personeel (OP), dat is in Foleta het </w:t>
      </w:r>
      <w:r w:rsidRPr="00AB751F">
        <w:rPr>
          <w:szCs w:val="20"/>
          <w:u w:val="single"/>
        </w:rPr>
        <w:t>B</w:t>
      </w:r>
      <w:r w:rsidRPr="00AB751F">
        <w:rPr>
          <w:szCs w:val="20"/>
        </w:rPr>
        <w:t>udget</w:t>
      </w:r>
    </w:p>
    <w:p w14:paraId="718D1ABA" w14:textId="77777777" w:rsidR="00AB751F" w:rsidRPr="00AB751F" w:rsidRDefault="00AB751F" w:rsidP="005A4B0C">
      <w:pPr>
        <w:numPr>
          <w:ilvl w:val="0"/>
          <w:numId w:val="11"/>
        </w:numPr>
        <w:spacing w:after="5" w:line="298" w:lineRule="auto"/>
        <w:contextualSpacing/>
        <w:rPr>
          <w:szCs w:val="20"/>
        </w:rPr>
      </w:pPr>
      <w:r w:rsidRPr="00AB751F">
        <w:rPr>
          <w:szCs w:val="20"/>
        </w:rPr>
        <w:t xml:space="preserve">het netto benodigde aantal fte OP in Foleta, zgn. </w:t>
      </w:r>
      <w:r w:rsidRPr="00AB751F">
        <w:rPr>
          <w:szCs w:val="20"/>
          <w:u w:val="single"/>
        </w:rPr>
        <w:t>B</w:t>
      </w:r>
      <w:r w:rsidRPr="00AB751F">
        <w:rPr>
          <w:szCs w:val="20"/>
        </w:rPr>
        <w:t>enodigd, dit wordt berekend op basis van de basiskaders die in het taakbeleid zijn vastgelegd</w:t>
      </w:r>
    </w:p>
    <w:p w14:paraId="4D474D20" w14:textId="77777777" w:rsidR="00AB751F" w:rsidRPr="00AB751F" w:rsidRDefault="00AB751F" w:rsidP="005A4B0C">
      <w:pPr>
        <w:numPr>
          <w:ilvl w:val="0"/>
          <w:numId w:val="11"/>
        </w:numPr>
        <w:spacing w:after="5" w:line="298" w:lineRule="auto"/>
        <w:contextualSpacing/>
        <w:rPr>
          <w:szCs w:val="20"/>
        </w:rPr>
      </w:pPr>
      <w:r w:rsidRPr="00AB751F">
        <w:rPr>
          <w:szCs w:val="20"/>
        </w:rPr>
        <w:t xml:space="preserve">het netto aangestelde aantal fte OP in Foleta, zgn. </w:t>
      </w:r>
      <w:r w:rsidRPr="00AB751F">
        <w:rPr>
          <w:szCs w:val="20"/>
          <w:u w:val="single"/>
        </w:rPr>
        <w:t>A</w:t>
      </w:r>
      <w:r w:rsidRPr="00AB751F">
        <w:rPr>
          <w:szCs w:val="20"/>
        </w:rPr>
        <w:t>angesteld, dit betreft het vaste personeel</w:t>
      </w:r>
    </w:p>
    <w:p w14:paraId="4366B2B2" w14:textId="77777777" w:rsidR="00AB751F" w:rsidRPr="00AB751F" w:rsidRDefault="00AB751F" w:rsidP="005A4B0C">
      <w:pPr>
        <w:numPr>
          <w:ilvl w:val="0"/>
          <w:numId w:val="11"/>
        </w:numPr>
        <w:spacing w:after="5" w:line="298" w:lineRule="auto"/>
        <w:contextualSpacing/>
        <w:rPr>
          <w:szCs w:val="20"/>
        </w:rPr>
      </w:pPr>
      <w:r w:rsidRPr="00AB751F">
        <w:rPr>
          <w:szCs w:val="20"/>
        </w:rPr>
        <w:t>Netto = bruto aanstelling, minus BAPO, Ouderschapsverlof, Zwangerschapsverlof</w:t>
      </w:r>
    </w:p>
    <w:p w14:paraId="55E229FC" w14:textId="77777777" w:rsidR="00AB751F" w:rsidRPr="00AB751F" w:rsidRDefault="00AB751F" w:rsidP="00AB751F">
      <w:pPr>
        <w:spacing w:line="298" w:lineRule="auto"/>
        <w:rPr>
          <w:szCs w:val="20"/>
        </w:rPr>
      </w:pPr>
    </w:p>
    <w:p w14:paraId="607181C9" w14:textId="77777777" w:rsidR="00AB751F" w:rsidRPr="00AB751F" w:rsidRDefault="00AB751F" w:rsidP="00AB751F">
      <w:pPr>
        <w:spacing w:line="298" w:lineRule="auto"/>
        <w:rPr>
          <w:szCs w:val="20"/>
        </w:rPr>
      </w:pPr>
      <w:r w:rsidRPr="00AB751F">
        <w:rPr>
          <w:szCs w:val="20"/>
        </w:rPr>
        <w:t>In de bepaling van het saldo netto inzetbaarheid OP wordt rekening gehouden met een aantal inhoudingen, dat zijn de volgende:</w:t>
      </w:r>
    </w:p>
    <w:p w14:paraId="7D8CE2AB" w14:textId="77777777" w:rsidR="00AB751F" w:rsidRPr="00AB751F" w:rsidRDefault="00AB751F" w:rsidP="005A4B0C">
      <w:pPr>
        <w:numPr>
          <w:ilvl w:val="0"/>
          <w:numId w:val="12"/>
        </w:numPr>
        <w:spacing w:after="5" w:line="298" w:lineRule="auto"/>
        <w:contextualSpacing/>
        <w:rPr>
          <w:szCs w:val="20"/>
        </w:rPr>
      </w:pPr>
      <w:r w:rsidRPr="00AB751F">
        <w:rPr>
          <w:szCs w:val="20"/>
        </w:rPr>
        <w:t>Vereenvoudiging bekostiging: deze gaat in per kalenderjaar 2022, aangezien dit voor 7/12 deel het schooljaar 21-22 betreft, en het Ichthus College minder rijksbijdragen krijgt, is daar rekening mee gehouden en gekort op het budget per eenheid.</w:t>
      </w:r>
    </w:p>
    <w:p w14:paraId="20E0B47B" w14:textId="77777777" w:rsidR="00AB751F" w:rsidRPr="006367D0" w:rsidRDefault="00AB751F" w:rsidP="005A4B0C">
      <w:pPr>
        <w:numPr>
          <w:ilvl w:val="0"/>
          <w:numId w:val="12"/>
        </w:numPr>
        <w:spacing w:after="5" w:line="298" w:lineRule="auto"/>
        <w:contextualSpacing/>
        <w:rPr>
          <w:szCs w:val="20"/>
        </w:rPr>
      </w:pPr>
      <w:r w:rsidRPr="00AB751F">
        <w:rPr>
          <w:szCs w:val="20"/>
        </w:rPr>
        <w:t xml:space="preserve">Reserve calamiteiten: dit is voor de directie formatieve ruimte om eventuele onvoorziene effecten op te kunnen vangen, zoals minder rijksbekostiging, ziekte boven de standaard en overige calamiteiten in het </w:t>
      </w:r>
      <w:r w:rsidRPr="006367D0">
        <w:rPr>
          <w:szCs w:val="20"/>
        </w:rPr>
        <w:t>formeren. In totaal 3% en dit is gekort op de budgetten per eenheid.</w:t>
      </w:r>
    </w:p>
    <w:p w14:paraId="67789DFC" w14:textId="17470D20" w:rsidR="00AB751F" w:rsidRPr="006367D0" w:rsidRDefault="00AB751F" w:rsidP="005A4B0C">
      <w:pPr>
        <w:numPr>
          <w:ilvl w:val="0"/>
          <w:numId w:val="12"/>
        </w:numPr>
        <w:spacing w:after="5" w:line="298" w:lineRule="auto"/>
        <w:contextualSpacing/>
        <w:rPr>
          <w:szCs w:val="20"/>
        </w:rPr>
      </w:pPr>
      <w:r w:rsidRPr="006367D0">
        <w:rPr>
          <w:szCs w:val="20"/>
        </w:rPr>
        <w:t xml:space="preserve">Taakstelling: zoals hierboven al vermeld is in de begroting 2021 een taakstelling opgenomen van </w:t>
      </w:r>
      <w:r w:rsidR="006367D0">
        <w:rPr>
          <w:szCs w:val="20"/>
        </w:rPr>
        <w:t>minus</w:t>
      </w:r>
      <w:r w:rsidRPr="006367D0">
        <w:rPr>
          <w:szCs w:val="20"/>
        </w:rPr>
        <w:t xml:space="preserve"> </w:t>
      </w:r>
      <w:r w:rsidR="006367D0" w:rsidRPr="006367D0">
        <w:rPr>
          <w:szCs w:val="20"/>
        </w:rPr>
        <w:t>4,5</w:t>
      </w:r>
      <w:r w:rsidRPr="006367D0">
        <w:rPr>
          <w:szCs w:val="20"/>
        </w:rPr>
        <w:t xml:space="preserve"> fte, deze is gekort op het budget per eenheid. </w:t>
      </w:r>
    </w:p>
    <w:p w14:paraId="1951BB72" w14:textId="77777777" w:rsidR="00AB751F" w:rsidRPr="00AB751F" w:rsidRDefault="00AB751F" w:rsidP="00AB751F">
      <w:pPr>
        <w:spacing w:line="298" w:lineRule="auto"/>
        <w:rPr>
          <w:szCs w:val="20"/>
        </w:rPr>
      </w:pPr>
    </w:p>
    <w:p w14:paraId="6F90B14B" w14:textId="77777777" w:rsidR="00AB751F" w:rsidRPr="003E6460" w:rsidRDefault="003E6460" w:rsidP="00AB751F">
      <w:pPr>
        <w:spacing w:line="298" w:lineRule="auto"/>
        <w:rPr>
          <w:szCs w:val="20"/>
        </w:rPr>
      </w:pPr>
      <w:r w:rsidRPr="003E6460">
        <w:rPr>
          <w:szCs w:val="20"/>
        </w:rPr>
        <w:t>D</w:t>
      </w:r>
      <w:r w:rsidR="00AB751F" w:rsidRPr="003E6460">
        <w:rPr>
          <w:szCs w:val="20"/>
        </w:rPr>
        <w:t xml:space="preserve">e bovenschoolse uren voor GMR, ICT coördinatie en inzet teamleider formatie ICC </w:t>
      </w:r>
      <w:r w:rsidRPr="003E6460">
        <w:rPr>
          <w:szCs w:val="20"/>
        </w:rPr>
        <w:t xml:space="preserve">zijn </w:t>
      </w:r>
      <w:r w:rsidR="00AB751F" w:rsidRPr="003E6460">
        <w:rPr>
          <w:szCs w:val="20"/>
        </w:rPr>
        <w:t>middels een verrekenstaat verwerkt ten gunste van de locaties die de desbetreffende inzet van personeel leveren.</w:t>
      </w:r>
    </w:p>
    <w:p w14:paraId="1CEE82E2" w14:textId="77777777" w:rsidR="00AB751F" w:rsidRPr="00AB751F" w:rsidRDefault="00AB751F" w:rsidP="00AB751F">
      <w:pPr>
        <w:spacing w:line="298" w:lineRule="auto"/>
        <w:rPr>
          <w:szCs w:val="20"/>
        </w:rPr>
      </w:pPr>
    </w:p>
    <w:p w14:paraId="051FDCAA" w14:textId="53042F2F" w:rsidR="00AB751F" w:rsidRPr="00AB751F" w:rsidRDefault="0088796B" w:rsidP="00AB751F">
      <w:pPr>
        <w:spacing w:line="298" w:lineRule="auto"/>
        <w:rPr>
          <w:szCs w:val="20"/>
        </w:rPr>
      </w:pPr>
      <w:r w:rsidRPr="0088796B">
        <w:rPr>
          <w:noProof/>
          <w:lang w:eastAsia="nl-NL"/>
        </w:rPr>
        <w:drawing>
          <wp:inline distT="0" distB="0" distL="0" distR="0" wp14:anchorId="69FB73A4" wp14:editId="0F2E64DF">
            <wp:extent cx="6120765" cy="3251656"/>
            <wp:effectExtent l="0" t="0" r="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251656"/>
                    </a:xfrm>
                    <a:prstGeom prst="rect">
                      <a:avLst/>
                    </a:prstGeom>
                    <a:noFill/>
                    <a:ln>
                      <a:noFill/>
                    </a:ln>
                  </pic:spPr>
                </pic:pic>
              </a:graphicData>
            </a:graphic>
          </wp:inline>
        </w:drawing>
      </w:r>
    </w:p>
    <w:p w14:paraId="326120F4" w14:textId="77777777" w:rsidR="00AB751F" w:rsidRPr="00AB751F" w:rsidRDefault="00AB751F" w:rsidP="00AB751F">
      <w:pPr>
        <w:spacing w:line="298" w:lineRule="auto"/>
        <w:rPr>
          <w:szCs w:val="20"/>
        </w:rPr>
      </w:pPr>
    </w:p>
    <w:p w14:paraId="5339F726" w14:textId="77777777" w:rsidR="00AB751F" w:rsidRPr="00F75842" w:rsidRDefault="00AB751F" w:rsidP="00AB751F">
      <w:pPr>
        <w:spacing w:after="160" w:line="298" w:lineRule="auto"/>
        <w:rPr>
          <w:szCs w:val="20"/>
        </w:rPr>
      </w:pPr>
      <w:r w:rsidRPr="00F75842">
        <w:rPr>
          <w:szCs w:val="20"/>
        </w:rPr>
        <w:t>Conclusie o.b.v. bovenstaande tabel:</w:t>
      </w:r>
    </w:p>
    <w:p w14:paraId="71CB43B8" w14:textId="5E024A1C" w:rsidR="00AB751F" w:rsidRPr="00F75842" w:rsidRDefault="00AB751F" w:rsidP="005A4B0C">
      <w:pPr>
        <w:numPr>
          <w:ilvl w:val="0"/>
          <w:numId w:val="13"/>
        </w:numPr>
        <w:spacing w:after="160" w:line="298" w:lineRule="auto"/>
        <w:contextualSpacing/>
        <w:rPr>
          <w:szCs w:val="20"/>
        </w:rPr>
      </w:pPr>
      <w:r w:rsidRPr="00F75842">
        <w:rPr>
          <w:szCs w:val="20"/>
        </w:rPr>
        <w:lastRenderedPageBreak/>
        <w:t xml:space="preserve">Het formatieproces is op </w:t>
      </w:r>
      <w:r w:rsidR="0088796B">
        <w:rPr>
          <w:szCs w:val="20"/>
        </w:rPr>
        <w:t>22-4-</w:t>
      </w:r>
      <w:r w:rsidRPr="00F75842">
        <w:rPr>
          <w:szCs w:val="20"/>
        </w:rPr>
        <w:t>202</w:t>
      </w:r>
      <w:r w:rsidR="00F75842" w:rsidRPr="00F75842">
        <w:rPr>
          <w:szCs w:val="20"/>
        </w:rPr>
        <w:t>1</w:t>
      </w:r>
      <w:r w:rsidRPr="00F75842">
        <w:rPr>
          <w:szCs w:val="20"/>
        </w:rPr>
        <w:t xml:space="preserve"> nog volop in bewerking, zoals te zien is in de verschillen tussen </w:t>
      </w:r>
      <w:r w:rsidRPr="00F75842">
        <w:rPr>
          <w:szCs w:val="20"/>
          <w:u w:val="single"/>
        </w:rPr>
        <w:t>B</w:t>
      </w:r>
      <w:r w:rsidRPr="00F75842">
        <w:rPr>
          <w:szCs w:val="20"/>
        </w:rPr>
        <w:t xml:space="preserve">udget, </w:t>
      </w:r>
      <w:r w:rsidRPr="00F75842">
        <w:rPr>
          <w:szCs w:val="20"/>
          <w:u w:val="single"/>
        </w:rPr>
        <w:t>B</w:t>
      </w:r>
      <w:r w:rsidRPr="00F75842">
        <w:rPr>
          <w:szCs w:val="20"/>
        </w:rPr>
        <w:t xml:space="preserve">enodigd en </w:t>
      </w:r>
      <w:r w:rsidRPr="00F75842">
        <w:rPr>
          <w:szCs w:val="20"/>
          <w:u w:val="single"/>
        </w:rPr>
        <w:t>A</w:t>
      </w:r>
      <w:r w:rsidRPr="00F75842">
        <w:rPr>
          <w:szCs w:val="20"/>
        </w:rPr>
        <w:t>angesteld (zgn. BBA in F</w:t>
      </w:r>
      <w:r w:rsidR="00F75842" w:rsidRPr="00F75842">
        <w:rPr>
          <w:szCs w:val="20"/>
        </w:rPr>
        <w:t>oleta).</w:t>
      </w:r>
    </w:p>
    <w:p w14:paraId="1DF1DEA9" w14:textId="77777777" w:rsidR="00AB751F" w:rsidRPr="00F75842" w:rsidRDefault="00AB751F" w:rsidP="005A4B0C">
      <w:pPr>
        <w:numPr>
          <w:ilvl w:val="0"/>
          <w:numId w:val="13"/>
        </w:numPr>
        <w:spacing w:after="160" w:line="298" w:lineRule="auto"/>
        <w:contextualSpacing/>
        <w:rPr>
          <w:szCs w:val="20"/>
        </w:rPr>
      </w:pPr>
      <w:r w:rsidRPr="00F75842">
        <w:rPr>
          <w:szCs w:val="20"/>
        </w:rPr>
        <w:t xml:space="preserve">De budgetten staan vast (behoudens aanpassing i.v.m. wijziging in aantal leerlingen), de aangehouden reserves calamiteiten worden in het formatiebudget aangehouden om tegenvallers in het formatieproces op te kunnen vangen. </w:t>
      </w:r>
    </w:p>
    <w:p w14:paraId="62F7B3C3" w14:textId="77777777" w:rsidR="0042317F" w:rsidRDefault="0042317F" w:rsidP="0042317F">
      <w:pPr>
        <w:pStyle w:val="Lijstalinea"/>
      </w:pPr>
    </w:p>
    <w:p w14:paraId="53B82CC9" w14:textId="77777777" w:rsidR="0042317F" w:rsidRPr="0042317F" w:rsidRDefault="0042317F" w:rsidP="0042317F"/>
    <w:p w14:paraId="5B9AF8E7" w14:textId="515CDB13" w:rsidR="003D0004" w:rsidRDefault="00C102D2" w:rsidP="006041A9">
      <w:pPr>
        <w:pStyle w:val="Kop2"/>
        <w:numPr>
          <w:ilvl w:val="1"/>
          <w:numId w:val="29"/>
        </w:numPr>
      </w:pPr>
      <w:r>
        <w:t xml:space="preserve"> </w:t>
      </w:r>
      <w:bookmarkStart w:id="36" w:name="_Toc69995018"/>
      <w:r w:rsidR="003D0004" w:rsidRPr="00CF02F3">
        <w:t>Overzicht resultaat financieel verbeterplan (indien van toepassing)</w:t>
      </w:r>
      <w:bookmarkEnd w:id="36"/>
      <w:r w:rsidR="003D0004" w:rsidRPr="00CF02F3">
        <w:t xml:space="preserve">          </w:t>
      </w:r>
    </w:p>
    <w:p w14:paraId="634BA69C" w14:textId="77777777" w:rsidR="0042317F" w:rsidRPr="0042317F" w:rsidRDefault="0042317F" w:rsidP="0042317F"/>
    <w:p w14:paraId="17CBBFD5" w14:textId="77777777" w:rsidR="00C102D2" w:rsidRPr="00C102D2" w:rsidRDefault="00E34C0A">
      <w:pPr>
        <w:spacing w:after="160" w:line="259" w:lineRule="auto"/>
      </w:pPr>
      <w:r w:rsidRPr="00C102D2">
        <w:t>Niet van toepassing</w:t>
      </w:r>
    </w:p>
    <w:p w14:paraId="33560A2C" w14:textId="77777777" w:rsidR="00C102D2" w:rsidRDefault="00C102D2">
      <w:pPr>
        <w:spacing w:after="160" w:line="259" w:lineRule="auto"/>
        <w:rPr>
          <w:color w:val="FF0000"/>
        </w:rPr>
      </w:pPr>
    </w:p>
    <w:p w14:paraId="68438FB4" w14:textId="6CC05E89" w:rsidR="00AB751F" w:rsidRDefault="00AB751F">
      <w:pPr>
        <w:spacing w:after="160" w:line="259" w:lineRule="auto"/>
        <w:rPr>
          <w:color w:val="FF0000"/>
        </w:rPr>
      </w:pPr>
    </w:p>
    <w:p w14:paraId="2AF7A1C3" w14:textId="77777777" w:rsidR="00C102D2" w:rsidRPr="00AD13E3" w:rsidRDefault="00C102D2">
      <w:pPr>
        <w:spacing w:after="160" w:line="259" w:lineRule="auto"/>
        <w:rPr>
          <w:color w:val="FF0000"/>
        </w:rPr>
      </w:pPr>
    </w:p>
    <w:p w14:paraId="02ECCEDA" w14:textId="6FDC4B6D" w:rsidR="0003194C" w:rsidRPr="00761E00" w:rsidRDefault="00AB751F" w:rsidP="00761E00">
      <w:pPr>
        <w:pStyle w:val="Kop2"/>
      </w:pPr>
      <w:bookmarkStart w:id="37" w:name="_Toc69995019"/>
      <w:r w:rsidRPr="00761E00">
        <w:t>Bijlagen:</w:t>
      </w:r>
      <w:bookmarkEnd w:id="37"/>
      <w:r w:rsidRPr="00761E00">
        <w:t xml:space="preserve"> </w:t>
      </w:r>
    </w:p>
    <w:p w14:paraId="714680B7" w14:textId="5D1315E4" w:rsidR="005A7974" w:rsidRPr="005A7974" w:rsidRDefault="00D2384E" w:rsidP="004B6CF5">
      <w:pPr>
        <w:pStyle w:val="Lijstalinea"/>
        <w:numPr>
          <w:ilvl w:val="0"/>
          <w:numId w:val="32"/>
        </w:numPr>
      </w:pPr>
      <w:r>
        <w:t xml:space="preserve">Invulling taakruimte volgens het </w:t>
      </w:r>
      <w:r w:rsidR="005A7974" w:rsidRPr="005A7974">
        <w:t>nieuwe taakbeleid</w:t>
      </w:r>
      <w:r>
        <w:t xml:space="preserve"> (zie ook notitie taakbeleid </w:t>
      </w:r>
      <w:r w:rsidR="004B6CF5">
        <w:t>Stichting Ichthus College 2021)</w:t>
      </w:r>
    </w:p>
    <w:p w14:paraId="7C3EC716" w14:textId="2113F73C" w:rsidR="005A7974" w:rsidRPr="005A7974" w:rsidRDefault="005A7974" w:rsidP="004B6CF5">
      <w:pPr>
        <w:pStyle w:val="Lijstalinea"/>
        <w:numPr>
          <w:ilvl w:val="0"/>
          <w:numId w:val="32"/>
        </w:numPr>
      </w:pPr>
      <w:r w:rsidRPr="005A7974">
        <w:t>Rubricering functiecategorieën benchmark</w:t>
      </w:r>
    </w:p>
    <w:p w14:paraId="51C8283B" w14:textId="3338D0E0" w:rsidR="0003194C" w:rsidRDefault="0003194C" w:rsidP="00F84569">
      <w:pPr>
        <w:rPr>
          <w:color w:val="FF0000"/>
        </w:rPr>
      </w:pPr>
    </w:p>
    <w:p w14:paraId="1CDC44F2" w14:textId="77777777" w:rsidR="00C102D2" w:rsidRDefault="00C102D2">
      <w:pPr>
        <w:spacing w:after="160" w:line="259" w:lineRule="auto"/>
        <w:rPr>
          <w:rFonts w:ascii="Verdana" w:eastAsia="Times New Roman" w:hAnsi="Verdana" w:cs="Times New Roman"/>
          <w:b/>
          <w:sz w:val="18"/>
          <w:szCs w:val="24"/>
          <w:lang w:eastAsia="nl-NL"/>
        </w:rPr>
      </w:pPr>
      <w:bookmarkStart w:id="38" w:name="_Toc66444039"/>
      <w:r>
        <w:br w:type="page"/>
      </w:r>
    </w:p>
    <w:p w14:paraId="595D9722" w14:textId="77777777" w:rsidR="00C102D2" w:rsidRDefault="00C102D2" w:rsidP="00C102D2">
      <w:pPr>
        <w:keepNext/>
        <w:keepLines/>
        <w:spacing w:line="240" w:lineRule="auto"/>
        <w:outlineLvl w:val="3"/>
        <w:rPr>
          <w:rFonts w:eastAsiaTheme="majorEastAsia" w:cstheme="majorBidi"/>
          <w:b/>
          <w:iCs/>
          <w:color w:val="005B82"/>
          <w:szCs w:val="24"/>
        </w:rPr>
      </w:pPr>
      <w:r>
        <w:rPr>
          <w:rFonts w:eastAsiaTheme="majorEastAsia" w:cstheme="majorBidi"/>
          <w:b/>
          <w:iCs/>
          <w:color w:val="005B82"/>
          <w:szCs w:val="24"/>
        </w:rPr>
        <w:lastRenderedPageBreak/>
        <w:t>Bijlage 1:</w:t>
      </w:r>
      <w:r w:rsidRPr="0003194C">
        <w:rPr>
          <w:rFonts w:eastAsiaTheme="majorEastAsia" w:cstheme="majorBidi"/>
          <w:b/>
          <w:iCs/>
          <w:color w:val="005B82"/>
          <w:szCs w:val="24"/>
        </w:rPr>
        <w:t xml:space="preserve"> </w:t>
      </w:r>
      <w:r>
        <w:rPr>
          <w:rFonts w:eastAsiaTheme="majorEastAsia" w:cstheme="majorBidi"/>
          <w:b/>
          <w:iCs/>
          <w:color w:val="005B82"/>
          <w:szCs w:val="24"/>
        </w:rPr>
        <w:t>Invulling taakruimte volgens het nieuwe taakbeleid</w:t>
      </w:r>
    </w:p>
    <w:p w14:paraId="6BC50C80" w14:textId="77777777" w:rsidR="00C102D2" w:rsidRPr="0003194C" w:rsidRDefault="00C102D2" w:rsidP="00C102D2">
      <w:pPr>
        <w:keepNext/>
        <w:keepLines/>
        <w:spacing w:line="240" w:lineRule="auto"/>
        <w:outlineLvl w:val="3"/>
        <w:rPr>
          <w:rFonts w:eastAsiaTheme="majorEastAsia" w:cstheme="majorBidi"/>
          <w:b/>
          <w:iCs/>
          <w:color w:val="005B82"/>
          <w:szCs w:val="24"/>
        </w:rPr>
      </w:pPr>
    </w:p>
    <w:p w14:paraId="290E0A21" w14:textId="11AA1C29" w:rsidR="004B6CF5" w:rsidRPr="002D076D" w:rsidRDefault="002D076D" w:rsidP="002D076D">
      <w:pPr>
        <w:ind w:firstLine="567"/>
        <w:rPr>
          <w:u w:val="single"/>
        </w:rPr>
      </w:pPr>
      <w:r>
        <w:rPr>
          <w:u w:val="single"/>
        </w:rPr>
        <w:t xml:space="preserve">1.1 </w:t>
      </w:r>
      <w:r w:rsidR="004B6CF5" w:rsidRPr="002D076D">
        <w:rPr>
          <w:u w:val="single"/>
        </w:rPr>
        <w:t>Taken die gelden voor alle scholen</w:t>
      </w:r>
      <w:bookmarkEnd w:id="38"/>
    </w:p>
    <w:p w14:paraId="1AA74E96" w14:textId="77777777" w:rsidR="004B6CF5" w:rsidRPr="0057079F" w:rsidRDefault="004B6CF5" w:rsidP="004B6CF5">
      <w:pPr>
        <w:pStyle w:val="Paragraaftekst"/>
      </w:pPr>
      <w:bookmarkStart w:id="39" w:name="_Toc69994938"/>
      <w:bookmarkStart w:id="40" w:name="_Toc69995020"/>
      <w:r w:rsidRPr="00114909">
        <w:t>Enkele taken gelden voor alle scholen; hiervoor is een generieke facilitering opgenomen</w:t>
      </w:r>
      <w:r>
        <w:t xml:space="preserve">. </w:t>
      </w:r>
      <w:r w:rsidRPr="0057079F">
        <w:t xml:space="preserve">Deze taken zijn niet apart opgenomen in de </w:t>
      </w:r>
      <w:r>
        <w:t>takenlijst</w:t>
      </w:r>
      <w:r w:rsidRPr="0057079F">
        <w:t>.</w:t>
      </w:r>
      <w:bookmarkEnd w:id="39"/>
      <w:bookmarkEnd w:id="40"/>
    </w:p>
    <w:p w14:paraId="1F7E859E" w14:textId="77777777" w:rsidR="004B6CF5" w:rsidRPr="0057079F" w:rsidRDefault="004B6CF5" w:rsidP="004B6CF5">
      <w:pPr>
        <w:ind w:firstLine="709"/>
        <w:outlineLvl w:val="1"/>
      </w:pPr>
    </w:p>
    <w:p w14:paraId="53D8CFEB" w14:textId="77777777" w:rsidR="004B6CF5" w:rsidRPr="00B413BD" w:rsidRDefault="004B6CF5" w:rsidP="004B6CF5">
      <w:pPr>
        <w:ind w:left="567"/>
        <w:rPr>
          <w:u w:val="single"/>
        </w:rPr>
      </w:pPr>
      <w:r w:rsidRPr="00B413BD">
        <w:rPr>
          <w:u w:val="single"/>
        </w:rPr>
        <w:t xml:space="preserve">Facilitering medezeggenschap </w:t>
      </w:r>
    </w:p>
    <w:p w14:paraId="3FAD5C30" w14:textId="77777777" w:rsidR="004B6CF5" w:rsidRPr="00B413BD" w:rsidRDefault="004B6CF5" w:rsidP="004B6CF5">
      <w:pPr>
        <w:ind w:left="567"/>
      </w:pPr>
      <w:r w:rsidRPr="00B413BD">
        <w:t>Op dit moment is de facilitering voor de medezeggenschap op verschillende manieren ingevuld in Foleta. Advies van de werkgroep is om te handhaven wat er nu is opgenomen in Foleta en in de evaluatie in schooljaar 2021/2022 de medezeggenschap met de directie de facilitering te harmoniseren conform cao vo.</w:t>
      </w:r>
    </w:p>
    <w:p w14:paraId="78B673E7" w14:textId="77777777" w:rsidR="004B6CF5" w:rsidRPr="00B413BD" w:rsidRDefault="004B6CF5" w:rsidP="004B6CF5">
      <w:pPr>
        <w:ind w:left="567"/>
      </w:pPr>
    </w:p>
    <w:p w14:paraId="0A89564A" w14:textId="77777777" w:rsidR="004B6CF5" w:rsidRPr="00B413BD" w:rsidRDefault="004B6CF5" w:rsidP="004B6CF5">
      <w:pPr>
        <w:ind w:left="567"/>
      </w:pPr>
      <w:r w:rsidRPr="00B413BD">
        <w:t>Onderstaande facilitering is van kracht conform cao vo</w:t>
      </w:r>
      <w:r>
        <w:t xml:space="preserve"> (bijlage 7, ex artikel 20.4 lid 3)</w:t>
      </w:r>
      <w:r w:rsidRPr="00B413BD">
        <w:t>.</w:t>
      </w:r>
    </w:p>
    <w:p w14:paraId="51C0019D" w14:textId="77777777" w:rsidR="004B6CF5" w:rsidRPr="00B413BD" w:rsidRDefault="004B6CF5" w:rsidP="004B6CF5">
      <w:pPr>
        <w:ind w:left="567"/>
        <w:rPr>
          <w:sz w:val="10"/>
        </w:rPr>
      </w:pPr>
    </w:p>
    <w:tbl>
      <w:tblPr>
        <w:tblStyle w:val="Tabelraster"/>
        <w:tblW w:w="0" w:type="auto"/>
        <w:tblInd w:w="567" w:type="dxa"/>
        <w:tblLook w:val="04A0" w:firstRow="1" w:lastRow="0" w:firstColumn="1" w:lastColumn="0" w:noHBand="0" w:noVBand="1"/>
      </w:tblPr>
      <w:tblGrid>
        <w:gridCol w:w="3050"/>
        <w:gridCol w:w="2450"/>
        <w:gridCol w:w="3112"/>
      </w:tblGrid>
      <w:tr w:rsidR="004B6CF5" w:rsidRPr="00B413BD" w14:paraId="266C6E99" w14:textId="77777777" w:rsidTr="00C102D2">
        <w:tc>
          <w:tcPr>
            <w:tcW w:w="0" w:type="auto"/>
            <w:shd w:val="clear" w:color="auto" w:fill="ED7D31" w:themeFill="accent2"/>
          </w:tcPr>
          <w:p w14:paraId="4E0ACEBC" w14:textId="77777777" w:rsidR="004B6CF5" w:rsidRPr="00B413BD" w:rsidRDefault="004B6CF5" w:rsidP="00C102D2">
            <w:pPr>
              <w:rPr>
                <w:b/>
              </w:rPr>
            </w:pPr>
            <w:r w:rsidRPr="00B413BD">
              <w:rPr>
                <w:b/>
              </w:rPr>
              <w:t>Taak</w:t>
            </w:r>
          </w:p>
        </w:tc>
        <w:tc>
          <w:tcPr>
            <w:tcW w:w="2450" w:type="dxa"/>
            <w:shd w:val="clear" w:color="auto" w:fill="ED7D31" w:themeFill="accent2"/>
          </w:tcPr>
          <w:p w14:paraId="0FA9CEF4" w14:textId="77777777" w:rsidR="004B6CF5" w:rsidRPr="00B413BD" w:rsidRDefault="004B6CF5" w:rsidP="00C102D2">
            <w:pPr>
              <w:rPr>
                <w:b/>
              </w:rPr>
            </w:pPr>
            <w:r w:rsidRPr="00B413BD">
              <w:rPr>
                <w:b/>
              </w:rPr>
              <w:t>Facilitering</w:t>
            </w:r>
          </w:p>
        </w:tc>
        <w:tc>
          <w:tcPr>
            <w:tcW w:w="3112" w:type="dxa"/>
            <w:shd w:val="clear" w:color="auto" w:fill="ED7D31" w:themeFill="accent2"/>
          </w:tcPr>
          <w:p w14:paraId="00751327" w14:textId="77777777" w:rsidR="004B6CF5" w:rsidRPr="00B413BD" w:rsidRDefault="004B6CF5" w:rsidP="00C102D2">
            <w:pPr>
              <w:rPr>
                <w:b/>
              </w:rPr>
            </w:pPr>
            <w:r w:rsidRPr="00B413BD">
              <w:rPr>
                <w:b/>
              </w:rPr>
              <w:t>Opmerking</w:t>
            </w:r>
          </w:p>
        </w:tc>
      </w:tr>
      <w:tr w:rsidR="004B6CF5" w:rsidRPr="00B413BD" w14:paraId="79695AB1" w14:textId="77777777" w:rsidTr="00C102D2">
        <w:tc>
          <w:tcPr>
            <w:tcW w:w="0" w:type="auto"/>
          </w:tcPr>
          <w:p w14:paraId="28DBBC9A" w14:textId="77777777" w:rsidR="004B6CF5" w:rsidRPr="00B413BD" w:rsidRDefault="004B6CF5" w:rsidP="00C102D2">
            <w:r w:rsidRPr="00B413BD">
              <w:t>GMR lid</w:t>
            </w:r>
          </w:p>
        </w:tc>
        <w:tc>
          <w:tcPr>
            <w:tcW w:w="2450" w:type="dxa"/>
          </w:tcPr>
          <w:p w14:paraId="10DF16D5" w14:textId="77777777" w:rsidR="004B6CF5" w:rsidRPr="00B413BD" w:rsidRDefault="004B6CF5" w:rsidP="00C102D2">
            <w:r>
              <w:t>100 uur</w:t>
            </w:r>
          </w:p>
        </w:tc>
        <w:tc>
          <w:tcPr>
            <w:tcW w:w="3112" w:type="dxa"/>
          </w:tcPr>
          <w:p w14:paraId="597BB205" w14:textId="77777777" w:rsidR="004B6CF5" w:rsidRDefault="004B6CF5" w:rsidP="00C102D2"/>
        </w:tc>
      </w:tr>
      <w:tr w:rsidR="004B6CF5" w:rsidRPr="00B413BD" w14:paraId="5A55FCEC" w14:textId="77777777" w:rsidTr="00C102D2">
        <w:tc>
          <w:tcPr>
            <w:tcW w:w="0" w:type="auto"/>
          </w:tcPr>
          <w:p w14:paraId="59C93DF9" w14:textId="77777777" w:rsidR="004B6CF5" w:rsidRPr="00B413BD" w:rsidRDefault="004B6CF5" w:rsidP="00C102D2">
            <w:r w:rsidRPr="00B413BD">
              <w:t>GMR voorzitter</w:t>
            </w:r>
          </w:p>
        </w:tc>
        <w:tc>
          <w:tcPr>
            <w:tcW w:w="2450" w:type="dxa"/>
          </w:tcPr>
          <w:p w14:paraId="185B5519" w14:textId="77777777" w:rsidR="004B6CF5" w:rsidRPr="00B413BD" w:rsidRDefault="004B6CF5" w:rsidP="00C102D2">
            <w:r>
              <w:t xml:space="preserve">+ 150 </w:t>
            </w:r>
            <w:r w:rsidRPr="00B413BD">
              <w:t>uur</w:t>
            </w:r>
            <w:r>
              <w:t xml:space="preserve"> bovenop lidmaatschap</w:t>
            </w:r>
          </w:p>
        </w:tc>
        <w:tc>
          <w:tcPr>
            <w:tcW w:w="3112" w:type="dxa"/>
          </w:tcPr>
          <w:p w14:paraId="02DC592E" w14:textId="77777777" w:rsidR="004B6CF5" w:rsidRPr="00B413BD" w:rsidRDefault="004B6CF5" w:rsidP="00C102D2"/>
        </w:tc>
      </w:tr>
      <w:tr w:rsidR="004B6CF5" w:rsidRPr="00B413BD" w14:paraId="5F4AEACE" w14:textId="77777777" w:rsidTr="00C102D2">
        <w:tc>
          <w:tcPr>
            <w:tcW w:w="0" w:type="auto"/>
          </w:tcPr>
          <w:p w14:paraId="2FD4C0F4" w14:textId="77777777" w:rsidR="004B6CF5" w:rsidRPr="00B413BD" w:rsidRDefault="004B6CF5" w:rsidP="00C102D2">
            <w:r w:rsidRPr="00B413BD">
              <w:t>GMR secretaris</w:t>
            </w:r>
          </w:p>
        </w:tc>
        <w:tc>
          <w:tcPr>
            <w:tcW w:w="2450" w:type="dxa"/>
          </w:tcPr>
          <w:p w14:paraId="0FFB2B9B" w14:textId="77777777" w:rsidR="004B6CF5" w:rsidRPr="00B413BD" w:rsidRDefault="004B6CF5" w:rsidP="00C102D2">
            <w:r>
              <w:t xml:space="preserve">+ </w:t>
            </w:r>
            <w:r w:rsidRPr="00B413BD">
              <w:t>50 uur</w:t>
            </w:r>
            <w:r>
              <w:t xml:space="preserve"> bovenop lidmaatschap</w:t>
            </w:r>
          </w:p>
        </w:tc>
        <w:tc>
          <w:tcPr>
            <w:tcW w:w="3112" w:type="dxa"/>
          </w:tcPr>
          <w:p w14:paraId="31C4A06B" w14:textId="77777777" w:rsidR="004B6CF5" w:rsidRPr="00B413BD" w:rsidRDefault="004B6CF5" w:rsidP="00C102D2"/>
        </w:tc>
      </w:tr>
      <w:tr w:rsidR="004B6CF5" w:rsidRPr="00B413BD" w14:paraId="19FC6094" w14:textId="77777777" w:rsidTr="00C102D2">
        <w:tc>
          <w:tcPr>
            <w:tcW w:w="0" w:type="auto"/>
          </w:tcPr>
          <w:p w14:paraId="581EDB0B" w14:textId="77777777" w:rsidR="004B6CF5" w:rsidRPr="00B413BD" w:rsidRDefault="004B6CF5" w:rsidP="00C102D2">
            <w:r w:rsidRPr="00B413BD">
              <w:t>GMR vice-voorzitter</w:t>
            </w:r>
          </w:p>
        </w:tc>
        <w:tc>
          <w:tcPr>
            <w:tcW w:w="2450" w:type="dxa"/>
          </w:tcPr>
          <w:p w14:paraId="32C618A7" w14:textId="77777777" w:rsidR="004B6CF5" w:rsidRPr="00B413BD" w:rsidRDefault="004B6CF5" w:rsidP="00C102D2">
            <w:r>
              <w:t xml:space="preserve">+ 50 </w:t>
            </w:r>
            <w:r w:rsidRPr="00B413BD">
              <w:t>uur</w:t>
            </w:r>
            <w:r>
              <w:t xml:space="preserve"> bovenop lidmaatschap</w:t>
            </w:r>
          </w:p>
        </w:tc>
        <w:tc>
          <w:tcPr>
            <w:tcW w:w="3112" w:type="dxa"/>
          </w:tcPr>
          <w:p w14:paraId="74AC8878" w14:textId="77777777" w:rsidR="004B6CF5" w:rsidRPr="00B413BD" w:rsidRDefault="004B6CF5" w:rsidP="00C102D2"/>
        </w:tc>
      </w:tr>
      <w:tr w:rsidR="004B6CF5" w:rsidRPr="00B413BD" w14:paraId="4604C661" w14:textId="77777777" w:rsidTr="00C102D2">
        <w:tc>
          <w:tcPr>
            <w:tcW w:w="0" w:type="auto"/>
            <w:tcBorders>
              <w:top w:val="single" w:sz="12" w:space="0" w:color="FFC000" w:themeColor="accent4"/>
              <w:bottom w:val="single" w:sz="4" w:space="0" w:color="auto"/>
            </w:tcBorders>
          </w:tcPr>
          <w:p w14:paraId="0211C059" w14:textId="77777777" w:rsidR="004B6CF5" w:rsidRPr="00B413BD" w:rsidRDefault="004B6CF5" w:rsidP="00C102D2">
            <w:r w:rsidRPr="00B413BD">
              <w:t>DMR of MR PRO lid</w:t>
            </w:r>
          </w:p>
        </w:tc>
        <w:tc>
          <w:tcPr>
            <w:tcW w:w="2450" w:type="dxa"/>
            <w:tcBorders>
              <w:top w:val="single" w:sz="12" w:space="0" w:color="FFC000" w:themeColor="accent4"/>
              <w:bottom w:val="single" w:sz="4" w:space="0" w:color="auto"/>
            </w:tcBorders>
          </w:tcPr>
          <w:p w14:paraId="7E0CBABE" w14:textId="77777777" w:rsidR="004B6CF5" w:rsidRPr="00B413BD" w:rsidRDefault="004B6CF5" w:rsidP="00C102D2">
            <w:r w:rsidRPr="00B413BD">
              <w:t>100 uur</w:t>
            </w:r>
          </w:p>
        </w:tc>
        <w:tc>
          <w:tcPr>
            <w:tcW w:w="3112" w:type="dxa"/>
            <w:tcBorders>
              <w:top w:val="single" w:sz="12" w:space="0" w:color="FFC000" w:themeColor="accent4"/>
              <w:bottom w:val="single" w:sz="4" w:space="0" w:color="auto"/>
            </w:tcBorders>
          </w:tcPr>
          <w:p w14:paraId="496515DE" w14:textId="77777777" w:rsidR="004B6CF5" w:rsidRPr="008F1125" w:rsidRDefault="004B6CF5" w:rsidP="00C102D2">
            <w:pPr>
              <w:rPr>
                <w:i/>
              </w:rPr>
            </w:pPr>
            <w:r>
              <w:rPr>
                <w:i/>
              </w:rPr>
              <w:t>Ook in GMR &gt; dan</w:t>
            </w:r>
            <w:r w:rsidRPr="008F1125">
              <w:rPr>
                <w:i/>
              </w:rPr>
              <w:t xml:space="preserve"> +60 uur</w:t>
            </w:r>
          </w:p>
        </w:tc>
      </w:tr>
      <w:tr w:rsidR="004B6CF5" w:rsidRPr="00B413BD" w14:paraId="7B2D54B1" w14:textId="77777777" w:rsidTr="00C102D2">
        <w:tc>
          <w:tcPr>
            <w:tcW w:w="0" w:type="auto"/>
            <w:tcBorders>
              <w:top w:val="single" w:sz="4" w:space="0" w:color="auto"/>
            </w:tcBorders>
          </w:tcPr>
          <w:p w14:paraId="403B642F" w14:textId="77777777" w:rsidR="004B6CF5" w:rsidRPr="00B413BD" w:rsidRDefault="004B6CF5" w:rsidP="00C102D2">
            <w:r w:rsidRPr="00B413BD">
              <w:t>DMR of MR PRO voorzitter</w:t>
            </w:r>
          </w:p>
        </w:tc>
        <w:tc>
          <w:tcPr>
            <w:tcW w:w="2450" w:type="dxa"/>
            <w:tcBorders>
              <w:top w:val="single" w:sz="4" w:space="0" w:color="auto"/>
            </w:tcBorders>
          </w:tcPr>
          <w:p w14:paraId="417F3CF6" w14:textId="77777777" w:rsidR="004B6CF5" w:rsidRPr="00B413BD" w:rsidRDefault="004B6CF5" w:rsidP="00C102D2">
            <w:r>
              <w:t>+ 1</w:t>
            </w:r>
            <w:r w:rsidRPr="00B413BD">
              <w:t>50 uur</w:t>
            </w:r>
            <w:r>
              <w:t xml:space="preserve"> bovenop lidmaatschap</w:t>
            </w:r>
          </w:p>
        </w:tc>
        <w:tc>
          <w:tcPr>
            <w:tcW w:w="3112" w:type="dxa"/>
            <w:tcBorders>
              <w:top w:val="single" w:sz="4" w:space="0" w:color="auto"/>
            </w:tcBorders>
            <w:vAlign w:val="center"/>
          </w:tcPr>
          <w:p w14:paraId="495273B2" w14:textId="77777777" w:rsidR="004B6CF5" w:rsidRPr="008F1125" w:rsidRDefault="004B6CF5" w:rsidP="00C102D2">
            <w:pPr>
              <w:rPr>
                <w:i/>
              </w:rPr>
            </w:pPr>
            <w:r>
              <w:rPr>
                <w:i/>
              </w:rPr>
              <w:t>Ook voorzitter GMR &gt; dan</w:t>
            </w:r>
            <w:r w:rsidRPr="008F1125">
              <w:rPr>
                <w:i/>
              </w:rPr>
              <w:t xml:space="preserve"> +150 uur</w:t>
            </w:r>
          </w:p>
        </w:tc>
      </w:tr>
      <w:tr w:rsidR="004B6CF5" w:rsidRPr="00B413BD" w14:paraId="4BFD1338" w14:textId="77777777" w:rsidTr="00C102D2">
        <w:tc>
          <w:tcPr>
            <w:tcW w:w="0" w:type="auto"/>
          </w:tcPr>
          <w:p w14:paraId="1517131F" w14:textId="77777777" w:rsidR="004B6CF5" w:rsidRPr="00B413BD" w:rsidRDefault="004B6CF5" w:rsidP="00C102D2">
            <w:r w:rsidRPr="00B413BD">
              <w:t>DMR of MR PRO secretaris</w:t>
            </w:r>
          </w:p>
        </w:tc>
        <w:tc>
          <w:tcPr>
            <w:tcW w:w="2450" w:type="dxa"/>
          </w:tcPr>
          <w:p w14:paraId="314559D0" w14:textId="77777777" w:rsidR="004B6CF5" w:rsidRPr="00B413BD" w:rsidRDefault="004B6CF5" w:rsidP="00C102D2">
            <w:r>
              <w:t xml:space="preserve">+ </w:t>
            </w:r>
            <w:r w:rsidRPr="00B413BD">
              <w:t>50 uur</w:t>
            </w:r>
            <w:r>
              <w:t xml:space="preserve"> bovenop lidmaatschap</w:t>
            </w:r>
          </w:p>
        </w:tc>
        <w:tc>
          <w:tcPr>
            <w:tcW w:w="3112" w:type="dxa"/>
          </w:tcPr>
          <w:p w14:paraId="4C935A53" w14:textId="77777777" w:rsidR="004B6CF5" w:rsidRPr="00B413BD" w:rsidRDefault="004B6CF5" w:rsidP="00C102D2"/>
        </w:tc>
      </w:tr>
      <w:tr w:rsidR="004B6CF5" w:rsidRPr="00B413BD" w14:paraId="48C60774" w14:textId="77777777" w:rsidTr="00C102D2">
        <w:tc>
          <w:tcPr>
            <w:tcW w:w="0" w:type="auto"/>
          </w:tcPr>
          <w:p w14:paraId="46D728DB" w14:textId="77777777" w:rsidR="004B6CF5" w:rsidRPr="00B413BD" w:rsidRDefault="004B6CF5" w:rsidP="00C102D2">
            <w:r w:rsidRPr="00B413BD">
              <w:t>DMR of MR PRO vice-voorzitter</w:t>
            </w:r>
          </w:p>
        </w:tc>
        <w:tc>
          <w:tcPr>
            <w:tcW w:w="2450" w:type="dxa"/>
          </w:tcPr>
          <w:p w14:paraId="47472769" w14:textId="77777777" w:rsidR="004B6CF5" w:rsidRPr="00B413BD" w:rsidRDefault="004B6CF5" w:rsidP="00C102D2">
            <w:r>
              <w:t xml:space="preserve">+ </w:t>
            </w:r>
            <w:r w:rsidRPr="00B413BD">
              <w:t>50 uur</w:t>
            </w:r>
            <w:r>
              <w:t xml:space="preserve"> bovenop lidmaatschap</w:t>
            </w:r>
          </w:p>
        </w:tc>
        <w:tc>
          <w:tcPr>
            <w:tcW w:w="3112" w:type="dxa"/>
          </w:tcPr>
          <w:p w14:paraId="0FBFB66C" w14:textId="77777777" w:rsidR="004B6CF5" w:rsidRPr="00B413BD" w:rsidRDefault="004B6CF5" w:rsidP="00C102D2"/>
        </w:tc>
      </w:tr>
    </w:tbl>
    <w:p w14:paraId="7018CC26" w14:textId="77777777" w:rsidR="004B6CF5" w:rsidRPr="00B413BD" w:rsidRDefault="004B6CF5" w:rsidP="004B6CF5">
      <w:pPr>
        <w:ind w:left="567"/>
        <w:rPr>
          <w:u w:val="single"/>
        </w:rPr>
      </w:pPr>
    </w:p>
    <w:p w14:paraId="025CB3F0" w14:textId="77777777" w:rsidR="004B6CF5" w:rsidRPr="00114909" w:rsidRDefault="004B6CF5" w:rsidP="004B6CF5">
      <w:pPr>
        <w:ind w:left="567"/>
        <w:rPr>
          <w:u w:val="single"/>
        </w:rPr>
      </w:pPr>
      <w:r w:rsidRPr="00B413BD">
        <w:rPr>
          <w:u w:val="single"/>
        </w:rPr>
        <w:t>Facilitering begeleiding stagiairs</w:t>
      </w:r>
    </w:p>
    <w:p w14:paraId="396FA17B" w14:textId="77777777" w:rsidR="004B6CF5" w:rsidRDefault="004B6CF5" w:rsidP="004B6CF5">
      <w:pPr>
        <w:ind w:left="567"/>
      </w:pPr>
      <w:r w:rsidRPr="00114909">
        <w:t xml:space="preserve">Zoals eerder afgesproken binnen de opleidingsschool Zwolle (OSZ) worden docenten </w:t>
      </w:r>
      <w:r>
        <w:t xml:space="preserve">die stagiairs begeleiden </w:t>
      </w:r>
      <w:r w:rsidRPr="00114909">
        <w:t xml:space="preserve">volgens onderstaand overzicht gefaciliteerd. Dit werd niet op elke </w:t>
      </w:r>
      <w:r>
        <w:t>locatie</w:t>
      </w:r>
      <w:r w:rsidRPr="00114909">
        <w:t xml:space="preserve"> zo toegepast, met invoering van dit taakbeleid wordt dit geharmoniseerd.</w:t>
      </w:r>
    </w:p>
    <w:p w14:paraId="0A92B45F" w14:textId="77777777" w:rsidR="004B6CF5" w:rsidRPr="00180D1E" w:rsidRDefault="004B6CF5" w:rsidP="004B6CF5">
      <w:pPr>
        <w:ind w:left="567"/>
        <w:rPr>
          <w:sz w:val="10"/>
        </w:rPr>
      </w:pPr>
    </w:p>
    <w:tbl>
      <w:tblPr>
        <w:tblStyle w:val="Tabelraster"/>
        <w:tblW w:w="0" w:type="auto"/>
        <w:tblInd w:w="567" w:type="dxa"/>
        <w:tblLook w:val="04A0" w:firstRow="1" w:lastRow="0" w:firstColumn="1" w:lastColumn="0" w:noHBand="0" w:noVBand="1"/>
      </w:tblPr>
      <w:tblGrid>
        <w:gridCol w:w="4986"/>
        <w:gridCol w:w="1840"/>
      </w:tblGrid>
      <w:tr w:rsidR="004B6CF5" w:rsidRPr="00D940D8" w14:paraId="15FB0538" w14:textId="77777777" w:rsidTr="00C102D2">
        <w:tc>
          <w:tcPr>
            <w:tcW w:w="0" w:type="auto"/>
            <w:shd w:val="clear" w:color="auto" w:fill="ED7D31" w:themeFill="accent2"/>
          </w:tcPr>
          <w:p w14:paraId="391E4BF9" w14:textId="77777777" w:rsidR="004B6CF5" w:rsidRPr="00D940D8" w:rsidRDefault="004B6CF5" w:rsidP="00C102D2">
            <w:pPr>
              <w:rPr>
                <w:b/>
              </w:rPr>
            </w:pPr>
            <w:r w:rsidRPr="00D940D8">
              <w:rPr>
                <w:b/>
              </w:rPr>
              <w:t>Taak</w:t>
            </w:r>
          </w:p>
        </w:tc>
        <w:tc>
          <w:tcPr>
            <w:tcW w:w="0" w:type="auto"/>
            <w:shd w:val="clear" w:color="auto" w:fill="ED7D31" w:themeFill="accent2"/>
          </w:tcPr>
          <w:p w14:paraId="5A55506B" w14:textId="77777777" w:rsidR="004B6CF5" w:rsidRPr="00D940D8" w:rsidRDefault="004B6CF5" w:rsidP="00C102D2">
            <w:pPr>
              <w:rPr>
                <w:b/>
              </w:rPr>
            </w:pPr>
            <w:r w:rsidRPr="00D940D8">
              <w:rPr>
                <w:b/>
              </w:rPr>
              <w:t>Facilitering</w:t>
            </w:r>
          </w:p>
        </w:tc>
      </w:tr>
      <w:tr w:rsidR="004B6CF5" w:rsidRPr="00D940D8" w14:paraId="14558B3E" w14:textId="77777777" w:rsidTr="00C102D2">
        <w:tc>
          <w:tcPr>
            <w:tcW w:w="0" w:type="auto"/>
          </w:tcPr>
          <w:p w14:paraId="5A0401D8" w14:textId="77777777" w:rsidR="004B6CF5" w:rsidRPr="00D940D8" w:rsidRDefault="004B6CF5" w:rsidP="00C102D2">
            <w:r w:rsidRPr="00D940D8">
              <w:t>Begeleidingsuren studenten leerjaar 1</w:t>
            </w:r>
          </w:p>
        </w:tc>
        <w:tc>
          <w:tcPr>
            <w:tcW w:w="0" w:type="auto"/>
          </w:tcPr>
          <w:p w14:paraId="66C7A6C4" w14:textId="77777777" w:rsidR="004B6CF5" w:rsidRPr="00D940D8" w:rsidRDefault="004B6CF5" w:rsidP="00C102D2">
            <w:r w:rsidRPr="00D940D8">
              <w:t>15 uur per student</w:t>
            </w:r>
          </w:p>
        </w:tc>
      </w:tr>
      <w:tr w:rsidR="004B6CF5" w:rsidRPr="00D940D8" w14:paraId="181C022C" w14:textId="77777777" w:rsidTr="00C102D2">
        <w:tc>
          <w:tcPr>
            <w:tcW w:w="0" w:type="auto"/>
          </w:tcPr>
          <w:p w14:paraId="30CB7B6D" w14:textId="77777777" w:rsidR="004B6CF5" w:rsidRPr="00D940D8" w:rsidRDefault="004B6CF5" w:rsidP="00C102D2">
            <w:r w:rsidRPr="00D940D8">
              <w:t>Begeleidingsuren per student leerjaar 2 en 3 en minor</w:t>
            </w:r>
          </w:p>
        </w:tc>
        <w:tc>
          <w:tcPr>
            <w:tcW w:w="0" w:type="auto"/>
          </w:tcPr>
          <w:p w14:paraId="094ADD64" w14:textId="77777777" w:rsidR="004B6CF5" w:rsidRPr="00D940D8" w:rsidRDefault="004B6CF5" w:rsidP="00C102D2">
            <w:r w:rsidRPr="00D940D8">
              <w:t>40 uur per student</w:t>
            </w:r>
          </w:p>
        </w:tc>
      </w:tr>
      <w:tr w:rsidR="004B6CF5" w:rsidRPr="00D940D8" w14:paraId="7F2730F7" w14:textId="77777777" w:rsidTr="00C102D2">
        <w:tc>
          <w:tcPr>
            <w:tcW w:w="0" w:type="auto"/>
          </w:tcPr>
          <w:p w14:paraId="058C1859" w14:textId="77777777" w:rsidR="004B6CF5" w:rsidRPr="00D940D8" w:rsidRDefault="004B6CF5" w:rsidP="00C102D2">
            <w:r w:rsidRPr="00D940D8">
              <w:t>Begeleidingsuren per student leerjaar 4 (LIO)</w:t>
            </w:r>
          </w:p>
        </w:tc>
        <w:tc>
          <w:tcPr>
            <w:tcW w:w="0" w:type="auto"/>
          </w:tcPr>
          <w:p w14:paraId="6A8EB0F2" w14:textId="77777777" w:rsidR="004B6CF5" w:rsidRPr="00D940D8" w:rsidRDefault="004B6CF5" w:rsidP="00C102D2">
            <w:r w:rsidRPr="00D940D8">
              <w:t>60 uur per student</w:t>
            </w:r>
          </w:p>
        </w:tc>
      </w:tr>
    </w:tbl>
    <w:p w14:paraId="1D8E7A01" w14:textId="77777777" w:rsidR="004B6CF5" w:rsidRPr="00BD0779" w:rsidRDefault="004B6CF5" w:rsidP="004B6CF5">
      <w:pPr>
        <w:pStyle w:val="Paragraaf"/>
        <w:tabs>
          <w:tab w:val="clear" w:pos="567"/>
        </w:tabs>
      </w:pPr>
    </w:p>
    <w:p w14:paraId="7DEB3F04" w14:textId="77777777" w:rsidR="004B6CF5" w:rsidRPr="00BD0779" w:rsidRDefault="004B6CF5" w:rsidP="004B6CF5">
      <w:pPr>
        <w:pStyle w:val="Paragraaftekst"/>
      </w:pPr>
      <w:bookmarkStart w:id="41" w:name="_Toc69994939"/>
      <w:bookmarkStart w:id="42" w:name="_Toc69995021"/>
      <w:r w:rsidRPr="00BD0779">
        <w:t xml:space="preserve">Voor het begeleiden van </w:t>
      </w:r>
      <w:r>
        <w:t>mbo</w:t>
      </w:r>
      <w:r w:rsidRPr="00BD0779">
        <w:t>-studenten geldt voor de facilitering als vuistregel één uur per dag.</w:t>
      </w:r>
      <w:bookmarkEnd w:id="41"/>
      <w:bookmarkEnd w:id="42"/>
      <w:r w:rsidRPr="00BD0779">
        <w:t xml:space="preserve"> </w:t>
      </w:r>
    </w:p>
    <w:p w14:paraId="44DD87AC" w14:textId="77777777" w:rsidR="004B6CF5" w:rsidRDefault="004B6CF5" w:rsidP="004B6CF5">
      <w:pPr>
        <w:spacing w:line="240" w:lineRule="auto"/>
        <w:rPr>
          <w:b/>
        </w:rPr>
      </w:pPr>
      <w:r>
        <w:br w:type="page"/>
      </w:r>
    </w:p>
    <w:p w14:paraId="01AA97D9" w14:textId="0EE4DE30" w:rsidR="004B6CF5" w:rsidRPr="002D076D" w:rsidRDefault="002D076D" w:rsidP="002D076D">
      <w:pPr>
        <w:ind w:firstLine="567"/>
        <w:rPr>
          <w:u w:val="single"/>
        </w:rPr>
      </w:pPr>
      <w:bookmarkStart w:id="43" w:name="_Toc66444040"/>
      <w:r>
        <w:rPr>
          <w:u w:val="single"/>
        </w:rPr>
        <w:lastRenderedPageBreak/>
        <w:t xml:space="preserve">1.2 </w:t>
      </w:r>
      <w:r w:rsidR="004B6CF5" w:rsidRPr="002D076D">
        <w:rPr>
          <w:u w:val="single"/>
        </w:rPr>
        <w:t>Takenlijst Kampen, Campus</w:t>
      </w:r>
      <w:bookmarkEnd w:id="43"/>
    </w:p>
    <w:p w14:paraId="08900274" w14:textId="77777777" w:rsidR="004B6CF5" w:rsidRDefault="004B6CF5" w:rsidP="004B6CF5">
      <w:pPr>
        <w:pStyle w:val="Paragraaftekst"/>
        <w:ind w:left="0"/>
      </w:pPr>
      <w:bookmarkStart w:id="44" w:name="_Toc69994940"/>
      <w:bookmarkStart w:id="45" w:name="_Toc69995022"/>
      <w:r w:rsidRPr="00AF2EB8">
        <w:rPr>
          <w:noProof/>
        </w:rPr>
        <w:drawing>
          <wp:inline distT="0" distB="0" distL="0" distR="0" wp14:anchorId="147CA117" wp14:editId="26F913F9">
            <wp:extent cx="4771915" cy="5617035"/>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7977" cy="5624170"/>
                    </a:xfrm>
                    <a:prstGeom prst="rect">
                      <a:avLst/>
                    </a:prstGeom>
                    <a:noFill/>
                    <a:ln>
                      <a:noFill/>
                    </a:ln>
                  </pic:spPr>
                </pic:pic>
              </a:graphicData>
            </a:graphic>
          </wp:inline>
        </w:drawing>
      </w:r>
      <w:bookmarkEnd w:id="44"/>
      <w:bookmarkEnd w:id="45"/>
    </w:p>
    <w:p w14:paraId="17BACC79" w14:textId="1BDB63FF" w:rsidR="004B6CF5" w:rsidRDefault="004B6CF5" w:rsidP="004B6CF5">
      <w:pPr>
        <w:pStyle w:val="Paragraaftekst"/>
        <w:ind w:left="0"/>
      </w:pPr>
      <w:bookmarkStart w:id="46" w:name="_Toc69994941"/>
      <w:bookmarkStart w:id="47" w:name="_Toc69995023"/>
      <w:r w:rsidRPr="00E95791">
        <w:rPr>
          <w:noProof/>
        </w:rPr>
        <w:drawing>
          <wp:inline distT="0" distB="0" distL="0" distR="0" wp14:anchorId="0FB51ABB" wp14:editId="31CF3D2B">
            <wp:extent cx="3412067" cy="835863"/>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6075" cy="844194"/>
                    </a:xfrm>
                    <a:prstGeom prst="rect">
                      <a:avLst/>
                    </a:prstGeom>
                    <a:noFill/>
                    <a:ln>
                      <a:noFill/>
                    </a:ln>
                  </pic:spPr>
                </pic:pic>
              </a:graphicData>
            </a:graphic>
          </wp:inline>
        </w:drawing>
      </w:r>
      <w:bookmarkEnd w:id="46"/>
      <w:bookmarkEnd w:id="47"/>
    </w:p>
    <w:p w14:paraId="74430E7E" w14:textId="77777777" w:rsidR="004B6CF5" w:rsidRPr="006716A3" w:rsidRDefault="004B6CF5" w:rsidP="004B6CF5">
      <w:pPr>
        <w:pStyle w:val="Paragraaftekst"/>
        <w:ind w:left="0"/>
        <w:rPr>
          <w:sz w:val="10"/>
          <w:szCs w:val="10"/>
        </w:rPr>
      </w:pPr>
    </w:p>
    <w:p w14:paraId="4B8FF2D8" w14:textId="77777777" w:rsidR="004B6CF5" w:rsidRDefault="004B6CF5" w:rsidP="004B6CF5">
      <w:pPr>
        <w:pStyle w:val="Paragraaftekst"/>
        <w:ind w:left="0"/>
      </w:pPr>
      <w:bookmarkStart w:id="48" w:name="_Toc69994942"/>
      <w:bookmarkStart w:id="49" w:name="_Toc69995024"/>
      <w:r w:rsidRPr="00811866">
        <w:rPr>
          <w:noProof/>
        </w:rPr>
        <w:drawing>
          <wp:inline distT="0" distB="0" distL="0" distR="0" wp14:anchorId="766A6E2A" wp14:editId="6C112F66">
            <wp:extent cx="3411855" cy="10110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2375" cy="1017106"/>
                    </a:xfrm>
                    <a:prstGeom prst="rect">
                      <a:avLst/>
                    </a:prstGeom>
                    <a:noFill/>
                    <a:ln>
                      <a:noFill/>
                    </a:ln>
                  </pic:spPr>
                </pic:pic>
              </a:graphicData>
            </a:graphic>
          </wp:inline>
        </w:drawing>
      </w:r>
      <w:bookmarkEnd w:id="48"/>
      <w:bookmarkEnd w:id="49"/>
    </w:p>
    <w:p w14:paraId="6C641C76" w14:textId="77777777" w:rsidR="004B6CF5" w:rsidRPr="006716A3" w:rsidRDefault="004B6CF5" w:rsidP="004B6CF5">
      <w:pPr>
        <w:pStyle w:val="Paragraaftekst"/>
        <w:ind w:left="0"/>
        <w:rPr>
          <w:sz w:val="10"/>
          <w:szCs w:val="10"/>
        </w:rPr>
      </w:pPr>
    </w:p>
    <w:p w14:paraId="57A4CC75" w14:textId="77777777" w:rsidR="004B6CF5" w:rsidRDefault="004B6CF5" w:rsidP="004B6CF5">
      <w:pPr>
        <w:pStyle w:val="Paragraaftekst"/>
        <w:ind w:left="0"/>
      </w:pPr>
      <w:bookmarkStart w:id="50" w:name="_Toc69994943"/>
      <w:bookmarkStart w:id="51" w:name="_Toc69995025"/>
      <w:r w:rsidRPr="006716A3">
        <w:rPr>
          <w:noProof/>
        </w:rPr>
        <w:drawing>
          <wp:inline distT="0" distB="0" distL="0" distR="0" wp14:anchorId="6A545CDB" wp14:editId="417B20B0">
            <wp:extent cx="3411855" cy="566095"/>
            <wp:effectExtent l="0" t="0" r="0" b="571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66912" cy="575230"/>
                    </a:xfrm>
                    <a:prstGeom prst="rect">
                      <a:avLst/>
                    </a:prstGeom>
                    <a:noFill/>
                    <a:ln>
                      <a:noFill/>
                    </a:ln>
                  </pic:spPr>
                </pic:pic>
              </a:graphicData>
            </a:graphic>
          </wp:inline>
        </w:drawing>
      </w:r>
      <w:bookmarkEnd w:id="50"/>
      <w:bookmarkEnd w:id="51"/>
    </w:p>
    <w:p w14:paraId="68448C6D" w14:textId="77777777" w:rsidR="004B6CF5" w:rsidRDefault="004B6CF5" w:rsidP="004B6CF5">
      <w:pPr>
        <w:pStyle w:val="Paragraaftekst"/>
        <w:ind w:left="0"/>
      </w:pPr>
    </w:p>
    <w:p w14:paraId="28CC2F54" w14:textId="77777777" w:rsidR="004B6CF5" w:rsidRDefault="004B6CF5" w:rsidP="004B6CF5">
      <w:pPr>
        <w:spacing w:line="240" w:lineRule="auto"/>
        <w:rPr>
          <w:b/>
        </w:rPr>
      </w:pPr>
      <w:r>
        <w:br w:type="page"/>
      </w:r>
    </w:p>
    <w:p w14:paraId="3C407B6A" w14:textId="4A626DB7" w:rsidR="004B6CF5" w:rsidRPr="002D076D" w:rsidRDefault="002D076D" w:rsidP="002D076D">
      <w:pPr>
        <w:ind w:firstLine="567"/>
        <w:rPr>
          <w:u w:val="single"/>
        </w:rPr>
      </w:pPr>
      <w:bookmarkStart w:id="52" w:name="_Toc66444041"/>
      <w:r>
        <w:rPr>
          <w:u w:val="single"/>
        </w:rPr>
        <w:lastRenderedPageBreak/>
        <w:t xml:space="preserve">1.3 </w:t>
      </w:r>
      <w:r w:rsidR="004B6CF5" w:rsidRPr="002D076D">
        <w:rPr>
          <w:u w:val="single"/>
        </w:rPr>
        <w:t>Takenlijst Kampen, VIA</w:t>
      </w:r>
      <w:bookmarkEnd w:id="52"/>
    </w:p>
    <w:p w14:paraId="10CB5971" w14:textId="77777777" w:rsidR="004B6CF5" w:rsidRDefault="004B6CF5" w:rsidP="004B6CF5">
      <w:pPr>
        <w:pStyle w:val="Paragraaftekst"/>
        <w:ind w:left="0"/>
      </w:pPr>
      <w:bookmarkStart w:id="53" w:name="_Toc69994944"/>
      <w:bookmarkStart w:id="54" w:name="_Toc69995026"/>
      <w:r w:rsidRPr="00811866">
        <w:rPr>
          <w:noProof/>
        </w:rPr>
        <w:drawing>
          <wp:inline distT="0" distB="0" distL="0" distR="0" wp14:anchorId="2BA1E5B1" wp14:editId="7CF58466">
            <wp:extent cx="5435269" cy="4207933"/>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0829" cy="4212237"/>
                    </a:xfrm>
                    <a:prstGeom prst="rect">
                      <a:avLst/>
                    </a:prstGeom>
                    <a:noFill/>
                    <a:ln>
                      <a:noFill/>
                    </a:ln>
                  </pic:spPr>
                </pic:pic>
              </a:graphicData>
            </a:graphic>
          </wp:inline>
        </w:drawing>
      </w:r>
      <w:bookmarkEnd w:id="53"/>
      <w:bookmarkEnd w:id="54"/>
    </w:p>
    <w:p w14:paraId="643305E9" w14:textId="77777777" w:rsidR="004B6CF5" w:rsidRPr="006716A3" w:rsidRDefault="004B6CF5" w:rsidP="004B6CF5">
      <w:pPr>
        <w:pStyle w:val="Paragraaftekst"/>
        <w:ind w:left="0"/>
        <w:rPr>
          <w:sz w:val="10"/>
          <w:szCs w:val="10"/>
        </w:rPr>
      </w:pPr>
    </w:p>
    <w:p w14:paraId="1476AEE3" w14:textId="77777777" w:rsidR="004B6CF5" w:rsidRDefault="004B6CF5" w:rsidP="004B6CF5">
      <w:pPr>
        <w:pStyle w:val="Paragraaftekst"/>
        <w:ind w:left="0"/>
      </w:pPr>
      <w:bookmarkStart w:id="55" w:name="_Toc69994945"/>
      <w:bookmarkStart w:id="56" w:name="_Toc69995027"/>
      <w:r w:rsidRPr="00811866">
        <w:rPr>
          <w:noProof/>
        </w:rPr>
        <w:drawing>
          <wp:inline distT="0" distB="0" distL="0" distR="0" wp14:anchorId="71E539BC" wp14:editId="01E4C4BB">
            <wp:extent cx="3056467" cy="95993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2330" cy="971198"/>
                    </a:xfrm>
                    <a:prstGeom prst="rect">
                      <a:avLst/>
                    </a:prstGeom>
                    <a:noFill/>
                    <a:ln>
                      <a:noFill/>
                    </a:ln>
                  </pic:spPr>
                </pic:pic>
              </a:graphicData>
            </a:graphic>
          </wp:inline>
        </w:drawing>
      </w:r>
      <w:bookmarkEnd w:id="55"/>
      <w:bookmarkEnd w:id="56"/>
    </w:p>
    <w:p w14:paraId="281FFBE1" w14:textId="77777777" w:rsidR="004B6CF5" w:rsidRPr="006716A3" w:rsidRDefault="004B6CF5" w:rsidP="004B6CF5">
      <w:pPr>
        <w:pStyle w:val="Paragraaftekst"/>
        <w:ind w:left="0"/>
        <w:rPr>
          <w:sz w:val="10"/>
          <w:szCs w:val="10"/>
        </w:rPr>
      </w:pPr>
    </w:p>
    <w:p w14:paraId="6E0EB02A" w14:textId="77777777" w:rsidR="004B6CF5" w:rsidRDefault="004B6CF5" w:rsidP="004B6CF5">
      <w:pPr>
        <w:pStyle w:val="Paragraaftekst"/>
        <w:ind w:left="0"/>
      </w:pPr>
      <w:bookmarkStart w:id="57" w:name="_Toc69994946"/>
      <w:bookmarkStart w:id="58" w:name="_Toc69995028"/>
      <w:r w:rsidRPr="00811866">
        <w:rPr>
          <w:noProof/>
        </w:rPr>
        <w:drawing>
          <wp:inline distT="0" distB="0" distL="0" distR="0" wp14:anchorId="405BEEE9" wp14:editId="21E9243C">
            <wp:extent cx="3056255" cy="190995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3431" cy="1933188"/>
                    </a:xfrm>
                    <a:prstGeom prst="rect">
                      <a:avLst/>
                    </a:prstGeom>
                    <a:noFill/>
                    <a:ln>
                      <a:noFill/>
                    </a:ln>
                  </pic:spPr>
                </pic:pic>
              </a:graphicData>
            </a:graphic>
          </wp:inline>
        </w:drawing>
      </w:r>
      <w:bookmarkEnd w:id="57"/>
      <w:bookmarkEnd w:id="58"/>
    </w:p>
    <w:p w14:paraId="44893BC3" w14:textId="77777777" w:rsidR="004B6CF5" w:rsidRPr="006716A3" w:rsidRDefault="004B6CF5" w:rsidP="004B6CF5">
      <w:pPr>
        <w:pStyle w:val="Paragraaftekst"/>
        <w:ind w:left="0"/>
        <w:rPr>
          <w:sz w:val="10"/>
          <w:szCs w:val="10"/>
        </w:rPr>
      </w:pPr>
    </w:p>
    <w:p w14:paraId="5FC66F18" w14:textId="77777777" w:rsidR="004B6CF5" w:rsidRDefault="004B6CF5" w:rsidP="004B6CF5">
      <w:pPr>
        <w:spacing w:line="240" w:lineRule="auto"/>
      </w:pPr>
      <w:r w:rsidRPr="00811866">
        <w:rPr>
          <w:noProof/>
          <w:lang w:eastAsia="nl-NL"/>
        </w:rPr>
        <w:drawing>
          <wp:inline distT="0" distB="0" distL="0" distR="0" wp14:anchorId="081FD623" wp14:editId="4866A301">
            <wp:extent cx="3074885" cy="543560"/>
            <wp:effectExtent l="0" t="0" r="0"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03251" cy="548574"/>
                    </a:xfrm>
                    <a:prstGeom prst="rect">
                      <a:avLst/>
                    </a:prstGeom>
                    <a:noFill/>
                    <a:ln>
                      <a:noFill/>
                    </a:ln>
                  </pic:spPr>
                </pic:pic>
              </a:graphicData>
            </a:graphic>
          </wp:inline>
        </w:drawing>
      </w:r>
    </w:p>
    <w:p w14:paraId="5AA0E1F4" w14:textId="77777777" w:rsidR="004B6CF5" w:rsidRDefault="004B6CF5" w:rsidP="004B6CF5">
      <w:pPr>
        <w:spacing w:line="240" w:lineRule="auto"/>
        <w:rPr>
          <w:b/>
        </w:rPr>
      </w:pPr>
    </w:p>
    <w:p w14:paraId="42B99033" w14:textId="77777777" w:rsidR="004B6CF5" w:rsidRDefault="004B6CF5">
      <w:pPr>
        <w:spacing w:after="160" w:line="259" w:lineRule="auto"/>
        <w:rPr>
          <w:rFonts w:ascii="Verdana" w:eastAsia="Times New Roman" w:hAnsi="Verdana" w:cs="Times New Roman"/>
          <w:b/>
          <w:sz w:val="18"/>
          <w:szCs w:val="24"/>
          <w:lang w:eastAsia="nl-NL"/>
        </w:rPr>
      </w:pPr>
      <w:bookmarkStart w:id="59" w:name="_Toc66444042"/>
      <w:r>
        <w:br w:type="page"/>
      </w:r>
    </w:p>
    <w:p w14:paraId="69093F9B" w14:textId="06547CA4" w:rsidR="004B6CF5" w:rsidRPr="002D076D" w:rsidRDefault="002D076D" w:rsidP="002D076D">
      <w:pPr>
        <w:ind w:firstLine="567"/>
        <w:rPr>
          <w:u w:val="single"/>
        </w:rPr>
      </w:pPr>
      <w:r>
        <w:rPr>
          <w:u w:val="single"/>
        </w:rPr>
        <w:lastRenderedPageBreak/>
        <w:t xml:space="preserve">1.4 </w:t>
      </w:r>
      <w:r w:rsidR="004B6CF5" w:rsidRPr="002D076D">
        <w:rPr>
          <w:u w:val="single"/>
        </w:rPr>
        <w:t>Takenlijst Kampen, PRO</w:t>
      </w:r>
      <w:bookmarkEnd w:id="59"/>
    </w:p>
    <w:p w14:paraId="22DA01B7" w14:textId="77777777" w:rsidR="004B6CF5" w:rsidRDefault="004B6CF5" w:rsidP="004B6CF5">
      <w:pPr>
        <w:spacing w:line="240" w:lineRule="auto"/>
      </w:pPr>
      <w:r w:rsidRPr="00811866">
        <w:rPr>
          <w:noProof/>
          <w:lang w:eastAsia="nl-NL"/>
        </w:rPr>
        <w:drawing>
          <wp:inline distT="0" distB="0" distL="0" distR="0" wp14:anchorId="2488303C" wp14:editId="17AF4398">
            <wp:extent cx="5225415" cy="2950210"/>
            <wp:effectExtent l="0" t="0" r="0" b="254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5415" cy="2950210"/>
                    </a:xfrm>
                    <a:prstGeom prst="rect">
                      <a:avLst/>
                    </a:prstGeom>
                    <a:noFill/>
                    <a:ln>
                      <a:noFill/>
                    </a:ln>
                  </pic:spPr>
                </pic:pic>
              </a:graphicData>
            </a:graphic>
          </wp:inline>
        </w:drawing>
      </w:r>
    </w:p>
    <w:p w14:paraId="20808C3E" w14:textId="77777777" w:rsidR="004B6CF5" w:rsidRPr="006716A3" w:rsidRDefault="004B6CF5" w:rsidP="004B6CF5">
      <w:pPr>
        <w:spacing w:line="240" w:lineRule="auto"/>
        <w:rPr>
          <w:sz w:val="10"/>
          <w:szCs w:val="10"/>
        </w:rPr>
      </w:pPr>
    </w:p>
    <w:p w14:paraId="7E90FA4A" w14:textId="77777777" w:rsidR="004B6CF5" w:rsidRDefault="004B6CF5" w:rsidP="004B6CF5">
      <w:pPr>
        <w:spacing w:line="240" w:lineRule="auto"/>
      </w:pPr>
      <w:r w:rsidRPr="00811866">
        <w:rPr>
          <w:noProof/>
          <w:lang w:eastAsia="nl-NL"/>
        </w:rPr>
        <w:drawing>
          <wp:inline distT="0" distB="0" distL="0" distR="0" wp14:anchorId="39C0D0DF" wp14:editId="3519CCC2">
            <wp:extent cx="3494405" cy="18503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4405" cy="1850390"/>
                    </a:xfrm>
                    <a:prstGeom prst="rect">
                      <a:avLst/>
                    </a:prstGeom>
                    <a:noFill/>
                    <a:ln>
                      <a:noFill/>
                    </a:ln>
                  </pic:spPr>
                </pic:pic>
              </a:graphicData>
            </a:graphic>
          </wp:inline>
        </w:drawing>
      </w:r>
    </w:p>
    <w:p w14:paraId="1ADEEBEF" w14:textId="77777777" w:rsidR="004B6CF5" w:rsidRPr="006716A3" w:rsidRDefault="004B6CF5" w:rsidP="004B6CF5">
      <w:pPr>
        <w:spacing w:line="240" w:lineRule="auto"/>
        <w:rPr>
          <w:sz w:val="10"/>
          <w:szCs w:val="10"/>
        </w:rPr>
      </w:pPr>
    </w:p>
    <w:p w14:paraId="750DFDD2" w14:textId="77777777" w:rsidR="004B6CF5" w:rsidRDefault="004B6CF5" w:rsidP="004B6CF5">
      <w:pPr>
        <w:spacing w:line="240" w:lineRule="auto"/>
        <w:rPr>
          <w:b/>
        </w:rPr>
      </w:pPr>
      <w:r w:rsidRPr="00811866">
        <w:rPr>
          <w:noProof/>
          <w:lang w:eastAsia="nl-NL"/>
        </w:rPr>
        <w:drawing>
          <wp:inline distT="0" distB="0" distL="0" distR="0" wp14:anchorId="39D10ED6" wp14:editId="2432F1D9">
            <wp:extent cx="3494405" cy="6096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4405" cy="609600"/>
                    </a:xfrm>
                    <a:prstGeom prst="rect">
                      <a:avLst/>
                    </a:prstGeom>
                    <a:noFill/>
                    <a:ln>
                      <a:noFill/>
                    </a:ln>
                  </pic:spPr>
                </pic:pic>
              </a:graphicData>
            </a:graphic>
          </wp:inline>
        </w:drawing>
      </w:r>
      <w:r>
        <w:br w:type="page"/>
      </w:r>
    </w:p>
    <w:p w14:paraId="34CF64DD" w14:textId="0DD6DD54" w:rsidR="004B6CF5" w:rsidRPr="002D076D" w:rsidRDefault="002D076D" w:rsidP="002D076D">
      <w:pPr>
        <w:ind w:firstLine="567"/>
        <w:rPr>
          <w:u w:val="single"/>
        </w:rPr>
      </w:pPr>
      <w:bookmarkStart w:id="60" w:name="_Toc66444043"/>
      <w:r>
        <w:rPr>
          <w:u w:val="single"/>
        </w:rPr>
        <w:lastRenderedPageBreak/>
        <w:t xml:space="preserve">1.5 </w:t>
      </w:r>
      <w:r w:rsidR="004B6CF5" w:rsidRPr="002D076D">
        <w:rPr>
          <w:u w:val="single"/>
        </w:rPr>
        <w:t>Takenlijst Dronten, Jupiterweg</w:t>
      </w:r>
      <w:bookmarkEnd w:id="60"/>
    </w:p>
    <w:p w14:paraId="135D4AA1" w14:textId="77777777" w:rsidR="004B6CF5" w:rsidRDefault="004B6CF5" w:rsidP="004B6CF5">
      <w:pPr>
        <w:spacing w:line="240" w:lineRule="auto"/>
      </w:pPr>
      <w:r w:rsidRPr="00811866">
        <w:rPr>
          <w:noProof/>
          <w:lang w:eastAsia="nl-NL"/>
        </w:rPr>
        <w:drawing>
          <wp:inline distT="0" distB="0" distL="0" distR="0" wp14:anchorId="5174DDF5" wp14:editId="3FE5AB93">
            <wp:extent cx="4916392" cy="6281496"/>
            <wp:effectExtent l="0" t="0" r="0" b="508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1154" cy="6287581"/>
                    </a:xfrm>
                    <a:prstGeom prst="rect">
                      <a:avLst/>
                    </a:prstGeom>
                    <a:noFill/>
                    <a:ln>
                      <a:noFill/>
                    </a:ln>
                  </pic:spPr>
                </pic:pic>
              </a:graphicData>
            </a:graphic>
          </wp:inline>
        </w:drawing>
      </w:r>
    </w:p>
    <w:p w14:paraId="7D04BBE1" w14:textId="77777777" w:rsidR="004B6CF5" w:rsidRDefault="004B6CF5" w:rsidP="004B6CF5">
      <w:pPr>
        <w:spacing w:line="240" w:lineRule="auto"/>
      </w:pPr>
    </w:p>
    <w:p w14:paraId="39A8AC30" w14:textId="77777777" w:rsidR="004B6CF5" w:rsidRDefault="004B6CF5" w:rsidP="004B6CF5">
      <w:pPr>
        <w:spacing w:line="240" w:lineRule="auto"/>
      </w:pPr>
      <w:r w:rsidRPr="00811866">
        <w:rPr>
          <w:noProof/>
          <w:lang w:eastAsia="nl-NL"/>
        </w:rPr>
        <w:drawing>
          <wp:inline distT="0" distB="0" distL="0" distR="0" wp14:anchorId="799DE0ED" wp14:editId="38CAE0DB">
            <wp:extent cx="5579745" cy="1603668"/>
            <wp:effectExtent l="0" t="0" r="190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9745" cy="1603668"/>
                    </a:xfrm>
                    <a:prstGeom prst="rect">
                      <a:avLst/>
                    </a:prstGeom>
                    <a:noFill/>
                    <a:ln>
                      <a:noFill/>
                    </a:ln>
                  </pic:spPr>
                </pic:pic>
              </a:graphicData>
            </a:graphic>
          </wp:inline>
        </w:drawing>
      </w:r>
    </w:p>
    <w:p w14:paraId="16E2743F" w14:textId="77777777" w:rsidR="004B6CF5" w:rsidRPr="006716A3" w:rsidRDefault="004B6CF5" w:rsidP="004B6CF5">
      <w:pPr>
        <w:spacing w:line="240" w:lineRule="auto"/>
        <w:rPr>
          <w:sz w:val="10"/>
          <w:szCs w:val="10"/>
        </w:rPr>
      </w:pPr>
    </w:p>
    <w:p w14:paraId="08926151" w14:textId="77777777" w:rsidR="004B6CF5" w:rsidRDefault="004B6CF5" w:rsidP="004B6CF5">
      <w:pPr>
        <w:spacing w:line="240" w:lineRule="auto"/>
        <w:rPr>
          <w:b/>
        </w:rPr>
      </w:pPr>
      <w:r w:rsidRPr="00811866">
        <w:rPr>
          <w:noProof/>
          <w:lang w:eastAsia="nl-NL"/>
        </w:rPr>
        <w:drawing>
          <wp:inline distT="0" distB="0" distL="0" distR="0" wp14:anchorId="5A20F5AB" wp14:editId="3D7D7F3B">
            <wp:extent cx="3550920" cy="260197"/>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72207" cy="276412"/>
                    </a:xfrm>
                    <a:prstGeom prst="rect">
                      <a:avLst/>
                    </a:prstGeom>
                    <a:noFill/>
                    <a:ln>
                      <a:noFill/>
                    </a:ln>
                  </pic:spPr>
                </pic:pic>
              </a:graphicData>
            </a:graphic>
          </wp:inline>
        </w:drawing>
      </w:r>
      <w:r>
        <w:br w:type="page"/>
      </w:r>
    </w:p>
    <w:p w14:paraId="72AC1E64" w14:textId="0758BB73" w:rsidR="004B6CF5" w:rsidRPr="002D076D" w:rsidRDefault="002D076D" w:rsidP="002D076D">
      <w:pPr>
        <w:ind w:firstLine="567"/>
        <w:rPr>
          <w:u w:val="single"/>
        </w:rPr>
      </w:pPr>
      <w:bookmarkStart w:id="61" w:name="_Toc66444044"/>
      <w:r>
        <w:rPr>
          <w:u w:val="single"/>
        </w:rPr>
        <w:lastRenderedPageBreak/>
        <w:t xml:space="preserve">1.6 </w:t>
      </w:r>
      <w:r w:rsidR="004B6CF5" w:rsidRPr="002D076D">
        <w:rPr>
          <w:u w:val="single"/>
        </w:rPr>
        <w:t xml:space="preserve">Takenlijst </w:t>
      </w:r>
      <w:r w:rsidR="00E930C5">
        <w:rPr>
          <w:u w:val="single"/>
        </w:rPr>
        <w:t xml:space="preserve">locatie Het Perron </w:t>
      </w:r>
      <w:r w:rsidR="004B6CF5" w:rsidRPr="002D076D">
        <w:rPr>
          <w:u w:val="single"/>
        </w:rPr>
        <w:t>Dronten</w:t>
      </w:r>
      <w:bookmarkEnd w:id="61"/>
    </w:p>
    <w:p w14:paraId="5016C47C" w14:textId="5975BA4E" w:rsidR="004B6CF5" w:rsidRPr="00CD6F27" w:rsidRDefault="00E930C5" w:rsidP="004B6CF5">
      <w:pPr>
        <w:pStyle w:val="Paragraaftekst"/>
      </w:pPr>
      <w:bookmarkStart w:id="62" w:name="_Toc69994947"/>
      <w:bookmarkStart w:id="63" w:name="_Toc69995029"/>
      <w:r>
        <w:t>Locatie Het Perron Dronten volgt de</w:t>
      </w:r>
      <w:r w:rsidR="004B6CF5" w:rsidRPr="00BD0779">
        <w:t xml:space="preserve"> takenlijst v</w:t>
      </w:r>
      <w:r>
        <w:t>an Dronten Jupiterweg.</w:t>
      </w:r>
      <w:bookmarkEnd w:id="62"/>
      <w:bookmarkEnd w:id="63"/>
      <w:r w:rsidR="004B6CF5" w:rsidRPr="00CD6F27">
        <w:t xml:space="preserve"> </w:t>
      </w:r>
    </w:p>
    <w:p w14:paraId="1FD8DE0B" w14:textId="77777777" w:rsidR="005A7974" w:rsidRDefault="005A7974" w:rsidP="00F84569">
      <w:pPr>
        <w:rPr>
          <w:color w:val="FF0000"/>
        </w:rPr>
      </w:pPr>
    </w:p>
    <w:p w14:paraId="31F71999" w14:textId="77777777" w:rsidR="0003194C" w:rsidRDefault="0003194C" w:rsidP="0003194C">
      <w:pPr>
        <w:pStyle w:val="Lijstalinea"/>
        <w:rPr>
          <w:color w:val="FF0000"/>
        </w:rPr>
      </w:pPr>
    </w:p>
    <w:p w14:paraId="6F9DD84C" w14:textId="201CC14D" w:rsidR="0003194C" w:rsidRPr="0003194C" w:rsidRDefault="005A7974" w:rsidP="0003194C">
      <w:pPr>
        <w:keepNext/>
        <w:keepLines/>
        <w:spacing w:line="240" w:lineRule="auto"/>
        <w:outlineLvl w:val="3"/>
        <w:rPr>
          <w:rFonts w:eastAsiaTheme="majorEastAsia" w:cstheme="majorBidi"/>
          <w:b/>
          <w:iCs/>
          <w:color w:val="005B82"/>
          <w:szCs w:val="24"/>
        </w:rPr>
      </w:pPr>
      <w:r>
        <w:rPr>
          <w:rFonts w:eastAsiaTheme="majorEastAsia" w:cstheme="majorBidi"/>
          <w:b/>
          <w:iCs/>
          <w:color w:val="005B82"/>
          <w:szCs w:val="24"/>
        </w:rPr>
        <w:t>Bijlage</w:t>
      </w:r>
      <w:r w:rsidR="004B6CF5">
        <w:rPr>
          <w:rFonts w:eastAsiaTheme="majorEastAsia" w:cstheme="majorBidi"/>
          <w:b/>
          <w:iCs/>
          <w:color w:val="005B82"/>
          <w:szCs w:val="24"/>
        </w:rPr>
        <w:t xml:space="preserve"> 2</w:t>
      </w:r>
      <w:r>
        <w:rPr>
          <w:rFonts w:eastAsiaTheme="majorEastAsia" w:cstheme="majorBidi"/>
          <w:b/>
          <w:iCs/>
          <w:color w:val="005B82"/>
          <w:szCs w:val="24"/>
        </w:rPr>
        <w:t>:</w:t>
      </w:r>
      <w:r w:rsidR="0003194C" w:rsidRPr="0003194C">
        <w:rPr>
          <w:rFonts w:eastAsiaTheme="majorEastAsia" w:cstheme="majorBidi"/>
          <w:b/>
          <w:iCs/>
          <w:color w:val="005B82"/>
          <w:szCs w:val="24"/>
        </w:rPr>
        <w:t xml:space="preserve"> Rubricering functiecategorieën benchmark</w:t>
      </w:r>
    </w:p>
    <w:p w14:paraId="157FDF86" w14:textId="77777777" w:rsidR="0003194C" w:rsidRPr="0003194C" w:rsidRDefault="0003194C" w:rsidP="0003194C">
      <w:pPr>
        <w:rPr>
          <w:noProof/>
        </w:rPr>
      </w:pPr>
    </w:p>
    <w:p w14:paraId="65AED5F1" w14:textId="77777777" w:rsidR="0003194C" w:rsidRPr="0003194C" w:rsidRDefault="0003194C" w:rsidP="0003194C">
      <w:pPr>
        <w:rPr>
          <w:noProof/>
        </w:rPr>
      </w:pPr>
      <w:r w:rsidRPr="0003194C">
        <w:rPr>
          <w:noProof/>
        </w:rPr>
        <w:t xml:space="preserve">Het gaat om de subgroepen: 1. onderwijsspecifieke overhead, 2. directie/management, 3. secretariële ondersteuning, 4. staf/ beleidsmatige ondersteuning, 5. kwaliteitszorg, 6. juridische zaken, 7. marketing, 8. PR en communicatie, 9. personeel en organisatie, 10. informatisering en automatisering, 11. financiën en control, 12. facilitaire zaken, 13. huisvesting en inkoop. </w:t>
      </w:r>
    </w:p>
    <w:p w14:paraId="7F527C94" w14:textId="77777777" w:rsidR="0003194C" w:rsidRPr="0003194C" w:rsidRDefault="0003194C" w:rsidP="0003194C"/>
    <w:p w14:paraId="1A82278A" w14:textId="77777777" w:rsidR="0003194C" w:rsidRPr="0003194C" w:rsidRDefault="0003194C" w:rsidP="0003194C">
      <w:pPr>
        <w:spacing w:line="298" w:lineRule="auto"/>
        <w:rPr>
          <w:szCs w:val="20"/>
        </w:rPr>
      </w:pPr>
      <w:r w:rsidRPr="0003194C">
        <w:rPr>
          <w:noProof/>
          <w:lang w:eastAsia="nl-NL"/>
        </w:rPr>
        <w:drawing>
          <wp:inline distT="0" distB="0" distL="0" distR="0" wp14:anchorId="05F56751" wp14:editId="32894FD7">
            <wp:extent cx="5760720" cy="428434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4284340"/>
                    </a:xfrm>
                    <a:prstGeom prst="rect">
                      <a:avLst/>
                    </a:prstGeom>
                    <a:noFill/>
                    <a:ln>
                      <a:noFill/>
                    </a:ln>
                  </pic:spPr>
                </pic:pic>
              </a:graphicData>
            </a:graphic>
          </wp:inline>
        </w:drawing>
      </w:r>
    </w:p>
    <w:p w14:paraId="0E3390A8" w14:textId="77777777" w:rsidR="0003194C" w:rsidRPr="0003194C" w:rsidRDefault="0003194C" w:rsidP="0003194C">
      <w:pPr>
        <w:pStyle w:val="Lijstalinea"/>
        <w:ind w:left="0"/>
        <w:rPr>
          <w:color w:val="FF0000"/>
        </w:rPr>
      </w:pPr>
    </w:p>
    <w:p w14:paraId="6B41475C" w14:textId="77777777" w:rsidR="00C622F7" w:rsidRDefault="00C622F7" w:rsidP="00C622F7">
      <w:pPr>
        <w:pStyle w:val="Geenafstand"/>
        <w:tabs>
          <w:tab w:val="right" w:pos="5245"/>
        </w:tabs>
        <w:rPr>
          <w:rFonts w:eastAsia="Times New Roman" w:cs="Arial"/>
          <w:color w:val="2F5496" w:themeColor="accent5" w:themeShade="BF"/>
          <w:szCs w:val="20"/>
          <w:lang w:val="nl"/>
        </w:rPr>
      </w:pPr>
    </w:p>
    <w:sectPr w:rsidR="00C622F7" w:rsidSect="00330A66">
      <w:headerReference w:type="even" r:id="rId33"/>
      <w:headerReference w:type="default" r:id="rId34"/>
      <w:footerReference w:type="even" r:id="rId35"/>
      <w:footerReference w:type="default" r:id="rId36"/>
      <w:headerReference w:type="first" r:id="rId37"/>
      <w:footerReference w:type="first" r:id="rId38"/>
      <w:pgSz w:w="11906" w:h="16838"/>
      <w:pgMar w:top="1560" w:right="1133" w:bottom="1418" w:left="1134" w:header="708"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538A" w14:textId="77777777" w:rsidR="001C683A" w:rsidRDefault="001C683A" w:rsidP="00F47196">
      <w:pPr>
        <w:spacing w:line="240" w:lineRule="auto"/>
      </w:pPr>
      <w:r>
        <w:separator/>
      </w:r>
    </w:p>
  </w:endnote>
  <w:endnote w:type="continuationSeparator" w:id="0">
    <w:p w14:paraId="71BC51EB" w14:textId="77777777" w:rsidR="001C683A" w:rsidRDefault="001C683A" w:rsidP="00F47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9DA3" w14:textId="77777777" w:rsidR="001C683A" w:rsidRDefault="001C68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7B1E" w14:textId="6E642DE3" w:rsidR="001C683A" w:rsidRDefault="001C683A" w:rsidP="00D4706B">
    <w:pPr>
      <w:pStyle w:val="Voettekst"/>
      <w:tabs>
        <w:tab w:val="clear" w:pos="4536"/>
        <w:tab w:val="clear" w:pos="9072"/>
        <w:tab w:val="right" w:pos="10348"/>
      </w:tabs>
      <w:ind w:right="-709"/>
      <w:rPr>
        <w:rFonts w:cs="Arial"/>
        <w:color w:val="005B82"/>
        <w:szCs w:val="20"/>
      </w:rPr>
    </w:pPr>
    <w:r>
      <w:rPr>
        <w:rFonts w:cs="Arial"/>
        <w:noProof/>
        <w:color w:val="005B82"/>
        <w:szCs w:val="20"/>
        <w:lang w:eastAsia="nl-NL"/>
      </w:rPr>
      <w:drawing>
        <wp:anchor distT="0" distB="0" distL="114300" distR="114300" simplePos="0" relativeHeight="251661312" behindDoc="1" locked="0" layoutInCell="1" allowOverlap="1" wp14:anchorId="2216EC99" wp14:editId="647F5CC2">
          <wp:simplePos x="0" y="0"/>
          <wp:positionH relativeFrom="page">
            <wp:posOffset>6985</wp:posOffset>
          </wp:positionH>
          <wp:positionV relativeFrom="paragraph">
            <wp:posOffset>47625</wp:posOffset>
          </wp:positionV>
          <wp:extent cx="7553325" cy="718581"/>
          <wp:effectExtent l="0" t="0" r="0" b="571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_po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718581"/>
                  </a:xfrm>
                  <a:prstGeom prst="rect">
                    <a:avLst/>
                  </a:prstGeom>
                </pic:spPr>
              </pic:pic>
            </a:graphicData>
          </a:graphic>
          <wp14:sizeRelH relativeFrom="page">
            <wp14:pctWidth>0</wp14:pctWidth>
          </wp14:sizeRelH>
          <wp14:sizeRelV relativeFrom="page">
            <wp14:pctHeight>0</wp14:pctHeight>
          </wp14:sizeRelV>
        </wp:anchor>
      </w:drawing>
    </w:r>
    <w:r>
      <w:rPr>
        <w:rFonts w:cs="Arial"/>
        <w:color w:val="005B82"/>
        <w:szCs w:val="20"/>
      </w:rPr>
      <w:tab/>
    </w:r>
    <w:r w:rsidRPr="00D4706B">
      <w:rPr>
        <w:rFonts w:cs="Arial"/>
        <w:color w:val="005B82"/>
        <w:szCs w:val="20"/>
      </w:rPr>
      <w:fldChar w:fldCharType="begin"/>
    </w:r>
    <w:r w:rsidRPr="00D4706B">
      <w:rPr>
        <w:rFonts w:cs="Arial"/>
        <w:color w:val="005B82"/>
        <w:szCs w:val="20"/>
      </w:rPr>
      <w:instrText>PAGE   \* MERGEFORMAT</w:instrText>
    </w:r>
    <w:r w:rsidRPr="00D4706B">
      <w:rPr>
        <w:rFonts w:cs="Arial"/>
        <w:color w:val="005B82"/>
        <w:szCs w:val="20"/>
      </w:rPr>
      <w:fldChar w:fldCharType="separate"/>
    </w:r>
    <w:r>
      <w:rPr>
        <w:rFonts w:cs="Arial"/>
        <w:noProof/>
        <w:color w:val="005B82"/>
        <w:szCs w:val="20"/>
      </w:rPr>
      <w:t>21</w:t>
    </w:r>
    <w:r w:rsidRPr="00D4706B">
      <w:rPr>
        <w:rFonts w:cs="Arial"/>
        <w:color w:val="005B8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A5C0" w14:textId="77777777" w:rsidR="001C683A" w:rsidRDefault="001C6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F69A" w14:textId="77777777" w:rsidR="001C683A" w:rsidRDefault="001C683A" w:rsidP="00F47196">
      <w:pPr>
        <w:spacing w:line="240" w:lineRule="auto"/>
      </w:pPr>
      <w:r>
        <w:separator/>
      </w:r>
    </w:p>
  </w:footnote>
  <w:footnote w:type="continuationSeparator" w:id="0">
    <w:p w14:paraId="364ACB1C" w14:textId="77777777" w:rsidR="001C683A" w:rsidRDefault="001C683A" w:rsidP="00F47196">
      <w:pPr>
        <w:spacing w:line="240" w:lineRule="auto"/>
      </w:pPr>
      <w:r>
        <w:continuationSeparator/>
      </w:r>
    </w:p>
  </w:footnote>
  <w:footnote w:id="1">
    <w:p w14:paraId="69E72E9D" w14:textId="77777777" w:rsidR="001C683A" w:rsidRDefault="001C683A" w:rsidP="00674AFD">
      <w:pPr>
        <w:pStyle w:val="footnotedescription"/>
        <w:spacing w:line="248" w:lineRule="auto"/>
      </w:pPr>
      <w:r>
        <w:rPr>
          <w:rStyle w:val="footnotemark"/>
        </w:rPr>
        <w:footnoteRef/>
      </w:r>
      <w:r>
        <w:t xml:space="preserve"> Op dit kader wordt afgeweken bij de volgende taken: GMR/DMR en gesubsidieerde projecten (=lerarenbeurs, Samen opleiden, 10-14 onderwijs, e.d.) </w:t>
      </w:r>
    </w:p>
  </w:footnote>
  <w:footnote w:id="2">
    <w:p w14:paraId="64F41D3E" w14:textId="77777777" w:rsidR="001C683A" w:rsidRDefault="001C683A" w:rsidP="00674AFD">
      <w:pPr>
        <w:pStyle w:val="footnotedescription"/>
        <w:spacing w:line="259" w:lineRule="auto"/>
      </w:pPr>
      <w:r>
        <w:rPr>
          <w:rStyle w:val="footnotemark"/>
        </w:rPr>
        <w:footnoteRef/>
      </w:r>
      <w:r>
        <w:t xml:space="preserve"> CLB = Coördinator Leerlingen Begeleider</w:t>
      </w:r>
      <w:r>
        <w:rPr>
          <w:rFonts w:ascii="Times New Roman" w:eastAsia="Times New Roman" w:hAnsi="Times New Roman" w:cs="Times New Roman"/>
          <w:vertAlign w:val="superscript"/>
        </w:rPr>
        <w:t xml:space="preserve">  </w:t>
      </w:r>
    </w:p>
  </w:footnote>
  <w:footnote w:id="3">
    <w:p w14:paraId="0412B60F" w14:textId="77777777" w:rsidR="001C683A" w:rsidRPr="00F35732" w:rsidRDefault="001C683A" w:rsidP="00674AFD">
      <w:pPr>
        <w:pStyle w:val="Voetnoottekst"/>
        <w:rPr>
          <w:rFonts w:asciiTheme="minorHAnsi" w:hAnsiTheme="minorHAnsi" w:cstheme="minorHAnsi"/>
          <w:sz w:val="18"/>
          <w:szCs w:val="18"/>
        </w:rPr>
      </w:pPr>
      <w:r w:rsidRPr="00F35732">
        <w:rPr>
          <w:rStyle w:val="Voetnootmarkering"/>
          <w:rFonts w:asciiTheme="minorHAnsi" w:hAnsiTheme="minorHAnsi" w:cstheme="minorHAnsi"/>
          <w:sz w:val="18"/>
          <w:szCs w:val="18"/>
        </w:rPr>
        <w:footnoteRef/>
      </w:r>
      <w:r w:rsidRPr="00F35732">
        <w:rPr>
          <w:rFonts w:asciiTheme="minorHAnsi" w:hAnsiTheme="minorHAnsi" w:cstheme="minorHAnsi"/>
          <w:sz w:val="18"/>
          <w:szCs w:val="18"/>
        </w:rPr>
        <w:t xml:space="preserve"> </w:t>
      </w:r>
      <w:r>
        <w:rPr>
          <w:rFonts w:asciiTheme="minorHAnsi" w:hAnsiTheme="minorHAnsi" w:cstheme="minorHAnsi"/>
          <w:sz w:val="18"/>
          <w:szCs w:val="18"/>
        </w:rPr>
        <w:t xml:space="preserve">Met uitzondering van de praktijklessen. </w:t>
      </w:r>
      <w:r w:rsidRPr="00F35732">
        <w:rPr>
          <w:rFonts w:asciiTheme="minorHAnsi" w:hAnsiTheme="minorHAnsi" w:cstheme="minorHAnsi"/>
          <w:sz w:val="18"/>
          <w:szCs w:val="18"/>
        </w:rPr>
        <w:t xml:space="preserve">Bij vakken die geclusterd worden, lukt dit vaker niet.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65E80" w14:textId="53A07EFA" w:rsidR="001C683A" w:rsidRDefault="001C68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A4CA" w14:textId="4F34299E" w:rsidR="001C683A" w:rsidRDefault="001C683A" w:rsidP="00B357BF">
    <w:pPr>
      <w:pStyle w:val="Koptekst"/>
      <w:tabs>
        <w:tab w:val="clear" w:pos="9072"/>
      </w:tabs>
      <w:ind w:right="-851"/>
    </w:pPr>
    <w:r>
      <w:rPr>
        <w:noProof/>
        <w:lang w:eastAsia="nl-NL"/>
      </w:rPr>
      <w:drawing>
        <wp:anchor distT="0" distB="0" distL="114300" distR="114300" simplePos="0" relativeHeight="251658240" behindDoc="1" locked="0" layoutInCell="1" allowOverlap="1" wp14:anchorId="4D70563E" wp14:editId="69A961B9">
          <wp:simplePos x="0" y="0"/>
          <wp:positionH relativeFrom="page">
            <wp:align>right</wp:align>
          </wp:positionH>
          <wp:positionV relativeFrom="paragraph">
            <wp:posOffset>-440055</wp:posOffset>
          </wp:positionV>
          <wp:extent cx="7541888" cy="647700"/>
          <wp:effectExtent l="0" t="0" r="254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pagina.jpg"/>
                  <pic:cNvPicPr/>
                </pic:nvPicPr>
                <pic:blipFill rotWithShape="1">
                  <a:blip r:embed="rId1" cstate="print">
                    <a:extLst>
                      <a:ext uri="{28A0092B-C50C-407E-A947-70E740481C1C}">
                        <a14:useLocalDpi xmlns:a14="http://schemas.microsoft.com/office/drawing/2010/main" val="0"/>
                      </a:ext>
                    </a:extLst>
                  </a:blip>
                  <a:srcRect b="93928"/>
                  <a:stretch/>
                </pic:blipFill>
                <pic:spPr bwMode="auto">
                  <a:xfrm>
                    <a:off x="0" y="0"/>
                    <a:ext cx="7542090" cy="6477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3C52" w14:textId="50EDF36D" w:rsidR="001C683A" w:rsidRDefault="001C683A">
    <w:pPr>
      <w:pStyle w:val="Koptekst"/>
    </w:pPr>
    <w:r>
      <w:rPr>
        <w:noProof/>
        <w:lang w:eastAsia="nl-NL"/>
      </w:rPr>
      <w:drawing>
        <wp:anchor distT="0" distB="0" distL="114300" distR="114300" simplePos="0" relativeHeight="251659264" behindDoc="1" locked="0" layoutInCell="1" allowOverlap="1" wp14:anchorId="05165AA4" wp14:editId="45A00917">
          <wp:simplePos x="0" y="0"/>
          <wp:positionH relativeFrom="page">
            <wp:align>right</wp:align>
          </wp:positionH>
          <wp:positionV relativeFrom="paragraph">
            <wp:posOffset>-449580</wp:posOffset>
          </wp:positionV>
          <wp:extent cx="7548824" cy="1067752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lad rap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425"/>
    <w:multiLevelType w:val="hybridMultilevel"/>
    <w:tmpl w:val="50960ED8"/>
    <w:lvl w:ilvl="0" w:tplc="04130001">
      <w:start w:val="1"/>
      <w:numFmt w:val="bullet"/>
      <w:lvlText w:val=""/>
      <w:lvlJc w:val="left"/>
      <w:pPr>
        <w:ind w:left="720" w:hanging="360"/>
      </w:pPr>
      <w:rPr>
        <w:rFonts w:ascii="Symbol" w:hAnsi="Symbol" w:hint="default"/>
      </w:rPr>
    </w:lvl>
    <w:lvl w:ilvl="1" w:tplc="F66E9A4E">
      <w:numFmt w:val="bullet"/>
      <w:lvlText w:val="-"/>
      <w:lvlJc w:val="left"/>
      <w:pPr>
        <w:ind w:left="1788" w:hanging="708"/>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63FF2"/>
    <w:multiLevelType w:val="multilevel"/>
    <w:tmpl w:val="F178131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8F6D25"/>
    <w:multiLevelType w:val="hybridMultilevel"/>
    <w:tmpl w:val="DDCC67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8E320D"/>
    <w:multiLevelType w:val="multilevel"/>
    <w:tmpl w:val="B0FAE06A"/>
    <w:lvl w:ilvl="0">
      <w:start w:val="5"/>
      <w:numFmt w:val="decimal"/>
      <w:lvlText w:val="%1"/>
      <w:lvlJc w:val="left"/>
      <w:pPr>
        <w:ind w:left="360" w:hanging="360"/>
      </w:pPr>
      <w:rPr>
        <w:rFonts w:hint="default"/>
      </w:rPr>
    </w:lvl>
    <w:lvl w:ilvl="1">
      <w:start w:val="3"/>
      <w:numFmt w:val="decimal"/>
      <w:lvlText w:val="%1.%2"/>
      <w:lvlJc w:val="left"/>
      <w:pPr>
        <w:ind w:left="1441" w:hanging="360"/>
      </w:pPr>
      <w:rPr>
        <w:rFonts w:hint="default"/>
      </w:rPr>
    </w:lvl>
    <w:lvl w:ilvl="2">
      <w:start w:val="1"/>
      <w:numFmt w:val="decimal"/>
      <w:lvlText w:val="%1.%2.%3"/>
      <w:lvlJc w:val="left"/>
      <w:pPr>
        <w:ind w:left="2882" w:hanging="720"/>
      </w:pPr>
      <w:rPr>
        <w:rFonts w:hint="default"/>
      </w:rPr>
    </w:lvl>
    <w:lvl w:ilvl="3">
      <w:start w:val="1"/>
      <w:numFmt w:val="decimal"/>
      <w:lvlText w:val="%1.%2.%3.%4"/>
      <w:lvlJc w:val="left"/>
      <w:pPr>
        <w:ind w:left="4323" w:hanging="1080"/>
      </w:pPr>
      <w:rPr>
        <w:rFonts w:hint="default"/>
      </w:rPr>
    </w:lvl>
    <w:lvl w:ilvl="4">
      <w:start w:val="1"/>
      <w:numFmt w:val="decimal"/>
      <w:lvlText w:val="%1.%2.%3.%4.%5"/>
      <w:lvlJc w:val="left"/>
      <w:pPr>
        <w:ind w:left="5404" w:hanging="1080"/>
      </w:pPr>
      <w:rPr>
        <w:rFonts w:hint="default"/>
      </w:rPr>
    </w:lvl>
    <w:lvl w:ilvl="5">
      <w:start w:val="1"/>
      <w:numFmt w:val="decimal"/>
      <w:lvlText w:val="%1.%2.%3.%4.%5.%6"/>
      <w:lvlJc w:val="left"/>
      <w:pPr>
        <w:ind w:left="6845" w:hanging="1440"/>
      </w:pPr>
      <w:rPr>
        <w:rFonts w:hint="default"/>
      </w:rPr>
    </w:lvl>
    <w:lvl w:ilvl="6">
      <w:start w:val="1"/>
      <w:numFmt w:val="decimal"/>
      <w:lvlText w:val="%1.%2.%3.%4.%5.%6.%7"/>
      <w:lvlJc w:val="left"/>
      <w:pPr>
        <w:ind w:left="7926" w:hanging="1440"/>
      </w:pPr>
      <w:rPr>
        <w:rFonts w:hint="default"/>
      </w:rPr>
    </w:lvl>
    <w:lvl w:ilvl="7">
      <w:start w:val="1"/>
      <w:numFmt w:val="decimal"/>
      <w:lvlText w:val="%1.%2.%3.%4.%5.%6.%7.%8"/>
      <w:lvlJc w:val="left"/>
      <w:pPr>
        <w:ind w:left="9367" w:hanging="1800"/>
      </w:pPr>
      <w:rPr>
        <w:rFonts w:hint="default"/>
      </w:rPr>
    </w:lvl>
    <w:lvl w:ilvl="8">
      <w:start w:val="1"/>
      <w:numFmt w:val="decimal"/>
      <w:lvlText w:val="%1.%2.%3.%4.%5.%6.%7.%8.%9"/>
      <w:lvlJc w:val="left"/>
      <w:pPr>
        <w:ind w:left="10448" w:hanging="1800"/>
      </w:pPr>
      <w:rPr>
        <w:rFonts w:hint="default"/>
      </w:rPr>
    </w:lvl>
  </w:abstractNum>
  <w:abstractNum w:abstractNumId="4" w15:restartNumberingAfterBreak="0">
    <w:nsid w:val="0EAA4373"/>
    <w:multiLevelType w:val="hybridMultilevel"/>
    <w:tmpl w:val="98464558"/>
    <w:lvl w:ilvl="0" w:tplc="A98019AE">
      <w:start w:val="1"/>
      <w:numFmt w:val="decimal"/>
      <w:lvlText w:val="%1."/>
      <w:lvlJc w:val="left"/>
      <w:pPr>
        <w:ind w:left="708" w:hanging="708"/>
      </w:pPr>
      <w:rPr>
        <w:rFonts w:hint="default"/>
      </w:rPr>
    </w:lvl>
    <w:lvl w:ilvl="1" w:tplc="7F789714">
      <w:start w:val="5"/>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C172AC"/>
    <w:multiLevelType w:val="hybridMultilevel"/>
    <w:tmpl w:val="65EC660E"/>
    <w:lvl w:ilvl="0" w:tplc="09A43AC0">
      <w:numFmt w:val="bullet"/>
      <w:lvlText w:val="•"/>
      <w:lvlJc w:val="left"/>
      <w:pPr>
        <w:ind w:left="720" w:hanging="360"/>
      </w:pPr>
      <w:rPr>
        <w:rFonts w:asciiTheme="minorHAnsi" w:eastAsiaTheme="minorHAnsi" w:hAnsiTheme="minorHAnsi" w:cstheme="minorHAnsi" w:hint="default"/>
      </w:rPr>
    </w:lvl>
    <w:lvl w:ilvl="1" w:tplc="407641DC">
      <w:numFmt w:val="bullet"/>
      <w:lvlText w:val="-"/>
      <w:lvlJc w:val="left"/>
      <w:pPr>
        <w:ind w:left="1440" w:hanging="360"/>
      </w:pPr>
      <w:rPr>
        <w:rFonts w:ascii="Calibri" w:eastAsia="Calibri" w:hAnsi="Calibri" w:cs="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88256E"/>
    <w:multiLevelType w:val="hybridMultilevel"/>
    <w:tmpl w:val="8628362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 w15:restartNumberingAfterBreak="0">
    <w:nsid w:val="13F12E54"/>
    <w:multiLevelType w:val="hybridMultilevel"/>
    <w:tmpl w:val="B3BE1478"/>
    <w:lvl w:ilvl="0" w:tplc="0413000F">
      <w:start w:val="1"/>
      <w:numFmt w:val="decimal"/>
      <w:lvlText w:val="%1."/>
      <w:lvlJc w:val="left"/>
      <w:pPr>
        <w:ind w:left="709" w:hanging="708"/>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8" w15:restartNumberingAfterBreak="0">
    <w:nsid w:val="16EB75D0"/>
    <w:multiLevelType w:val="multilevel"/>
    <w:tmpl w:val="639A9448"/>
    <w:lvl w:ilvl="0">
      <w:start w:val="1"/>
      <w:numFmt w:val="decimal"/>
      <w:lvlText w:val="%1."/>
      <w:lvlJc w:val="left"/>
      <w:pPr>
        <w:tabs>
          <w:tab w:val="num" w:pos="360"/>
        </w:tabs>
        <w:ind w:left="0" w:firstLine="0"/>
      </w:pPr>
      <w:rPr>
        <w:rFonts w:ascii="Verdana" w:hAnsi="Verdana" w:hint="default"/>
        <w:b/>
        <w:i w:val="0"/>
        <w:color w:val="365F91"/>
        <w:sz w:val="28"/>
        <w:szCs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BIJLAGE %9:"/>
      <w:lvlJc w:val="left"/>
      <w:pPr>
        <w:tabs>
          <w:tab w:val="num" w:pos="1277"/>
        </w:tabs>
        <w:ind w:left="1277" w:firstLine="0"/>
      </w:pPr>
      <w:rPr>
        <w:rFonts w:hint="default"/>
      </w:rPr>
    </w:lvl>
  </w:abstractNum>
  <w:abstractNum w:abstractNumId="9" w15:restartNumberingAfterBreak="0">
    <w:nsid w:val="185E148A"/>
    <w:multiLevelType w:val="hybridMultilevel"/>
    <w:tmpl w:val="62200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E97BB6"/>
    <w:multiLevelType w:val="multilevel"/>
    <w:tmpl w:val="1FC4F544"/>
    <w:lvl w:ilvl="0">
      <w:start w:val="1"/>
      <w:numFmt w:val="decimal"/>
      <w:lvlText w:val="%1."/>
      <w:lvlJc w:val="left"/>
      <w:pPr>
        <w:ind w:left="370" w:hanging="360"/>
      </w:pPr>
    </w:lvl>
    <w:lvl w:ilvl="1">
      <w:start w:val="4"/>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289D5C4E"/>
    <w:multiLevelType w:val="hybridMultilevel"/>
    <w:tmpl w:val="6B503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1D359F"/>
    <w:multiLevelType w:val="hybridMultilevel"/>
    <w:tmpl w:val="BBB0D8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6C1D08"/>
    <w:multiLevelType w:val="multilevel"/>
    <w:tmpl w:val="C2526D1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15:restartNumberingAfterBreak="0">
    <w:nsid w:val="3481647A"/>
    <w:multiLevelType w:val="hybridMultilevel"/>
    <w:tmpl w:val="9F3C4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175D81"/>
    <w:multiLevelType w:val="hybridMultilevel"/>
    <w:tmpl w:val="D2883466"/>
    <w:lvl w:ilvl="0" w:tplc="9288FF90">
      <w:start w:val="1"/>
      <w:numFmt w:val="decimal"/>
      <w:lvlText w:val="%1."/>
      <w:lvlJc w:val="left"/>
      <w:pPr>
        <w:ind w:left="361" w:hanging="360"/>
      </w:pPr>
      <w:rPr>
        <w:rFonts w:hint="default"/>
      </w:rPr>
    </w:lvl>
    <w:lvl w:ilvl="1" w:tplc="04130019">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6" w15:restartNumberingAfterBreak="0">
    <w:nsid w:val="36EC2990"/>
    <w:multiLevelType w:val="hybridMultilevel"/>
    <w:tmpl w:val="5B424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063059"/>
    <w:multiLevelType w:val="hybridMultilevel"/>
    <w:tmpl w:val="64D831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0428BD"/>
    <w:multiLevelType w:val="hybridMultilevel"/>
    <w:tmpl w:val="2E168A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047B49"/>
    <w:multiLevelType w:val="hybridMultilevel"/>
    <w:tmpl w:val="E0E8E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02F6109"/>
    <w:multiLevelType w:val="hybridMultilevel"/>
    <w:tmpl w:val="14C662EE"/>
    <w:lvl w:ilvl="0" w:tplc="0413000F">
      <w:start w:val="1"/>
      <w:numFmt w:val="decimal"/>
      <w:lvlText w:val="%1."/>
      <w:lvlJc w:val="left"/>
      <w:pPr>
        <w:ind w:left="709" w:hanging="708"/>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1" w15:restartNumberingAfterBreak="0">
    <w:nsid w:val="542856E6"/>
    <w:multiLevelType w:val="hybridMultilevel"/>
    <w:tmpl w:val="EA5C6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611175F"/>
    <w:multiLevelType w:val="hybridMultilevel"/>
    <w:tmpl w:val="B332384A"/>
    <w:lvl w:ilvl="0" w:tplc="A98019AE">
      <w:start w:val="1"/>
      <w:numFmt w:val="decimal"/>
      <w:lvlText w:val="%1."/>
      <w:lvlJc w:val="left"/>
      <w:pPr>
        <w:ind w:left="708" w:hanging="708"/>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D141C8E"/>
    <w:multiLevelType w:val="hybridMultilevel"/>
    <w:tmpl w:val="C95C8B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6D24419"/>
    <w:multiLevelType w:val="hybridMultilevel"/>
    <w:tmpl w:val="77849B26"/>
    <w:lvl w:ilvl="0" w:tplc="AC581B84">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A5528">
      <w:start w:val="1"/>
      <w:numFmt w:val="lowerLetter"/>
      <w:lvlText w:val="%2"/>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C0D71E">
      <w:start w:val="1"/>
      <w:numFmt w:val="lowerRoman"/>
      <w:lvlText w:val="%3"/>
      <w:lvlJc w:val="left"/>
      <w:pPr>
        <w:ind w:left="2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DC38F8">
      <w:start w:val="1"/>
      <w:numFmt w:val="decimal"/>
      <w:lvlText w:val="%4"/>
      <w:lvlJc w:val="left"/>
      <w:pPr>
        <w:ind w:left="3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CE7BC">
      <w:start w:val="1"/>
      <w:numFmt w:val="lowerLetter"/>
      <w:lvlText w:val="%5"/>
      <w:lvlJc w:val="left"/>
      <w:pPr>
        <w:ind w:left="3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AEE5E4">
      <w:start w:val="1"/>
      <w:numFmt w:val="lowerRoman"/>
      <w:lvlText w:val="%6"/>
      <w:lvlJc w:val="left"/>
      <w:pPr>
        <w:ind w:left="4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2A21C">
      <w:start w:val="1"/>
      <w:numFmt w:val="decimal"/>
      <w:lvlText w:val="%7"/>
      <w:lvlJc w:val="left"/>
      <w:pPr>
        <w:ind w:left="5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A03AE">
      <w:start w:val="1"/>
      <w:numFmt w:val="lowerLetter"/>
      <w:lvlText w:val="%8"/>
      <w:lvlJc w:val="left"/>
      <w:pPr>
        <w:ind w:left="6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CAC3D0">
      <w:start w:val="1"/>
      <w:numFmt w:val="lowerRoman"/>
      <w:lvlText w:val="%9"/>
      <w:lvlJc w:val="left"/>
      <w:pPr>
        <w:ind w:left="6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871A93"/>
    <w:multiLevelType w:val="hybridMultilevel"/>
    <w:tmpl w:val="53AA0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FE329F8"/>
    <w:multiLevelType w:val="multilevel"/>
    <w:tmpl w:val="A98846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B3439C"/>
    <w:multiLevelType w:val="hybridMultilevel"/>
    <w:tmpl w:val="09A8CE2A"/>
    <w:lvl w:ilvl="0" w:tplc="04130001">
      <w:start w:val="1"/>
      <w:numFmt w:val="bullet"/>
      <w:lvlText w:val=""/>
      <w:lvlJc w:val="left"/>
      <w:pPr>
        <w:ind w:left="365" w:hanging="360"/>
      </w:pPr>
      <w:rPr>
        <w:rFonts w:ascii="Symbol" w:hAnsi="Symbol" w:hint="default"/>
      </w:rPr>
    </w:lvl>
    <w:lvl w:ilvl="1" w:tplc="04130003" w:tentative="1">
      <w:start w:val="1"/>
      <w:numFmt w:val="bullet"/>
      <w:lvlText w:val="o"/>
      <w:lvlJc w:val="left"/>
      <w:pPr>
        <w:ind w:left="1085" w:hanging="360"/>
      </w:pPr>
      <w:rPr>
        <w:rFonts w:ascii="Courier New" w:hAnsi="Courier New" w:cs="Courier New" w:hint="default"/>
      </w:rPr>
    </w:lvl>
    <w:lvl w:ilvl="2" w:tplc="04130005" w:tentative="1">
      <w:start w:val="1"/>
      <w:numFmt w:val="bullet"/>
      <w:lvlText w:val=""/>
      <w:lvlJc w:val="left"/>
      <w:pPr>
        <w:ind w:left="1805" w:hanging="360"/>
      </w:pPr>
      <w:rPr>
        <w:rFonts w:ascii="Wingdings" w:hAnsi="Wingdings" w:hint="default"/>
      </w:rPr>
    </w:lvl>
    <w:lvl w:ilvl="3" w:tplc="04130001" w:tentative="1">
      <w:start w:val="1"/>
      <w:numFmt w:val="bullet"/>
      <w:lvlText w:val=""/>
      <w:lvlJc w:val="left"/>
      <w:pPr>
        <w:ind w:left="2525" w:hanging="360"/>
      </w:pPr>
      <w:rPr>
        <w:rFonts w:ascii="Symbol" w:hAnsi="Symbol" w:hint="default"/>
      </w:rPr>
    </w:lvl>
    <w:lvl w:ilvl="4" w:tplc="04130003" w:tentative="1">
      <w:start w:val="1"/>
      <w:numFmt w:val="bullet"/>
      <w:lvlText w:val="o"/>
      <w:lvlJc w:val="left"/>
      <w:pPr>
        <w:ind w:left="3245" w:hanging="360"/>
      </w:pPr>
      <w:rPr>
        <w:rFonts w:ascii="Courier New" w:hAnsi="Courier New" w:cs="Courier New" w:hint="default"/>
      </w:rPr>
    </w:lvl>
    <w:lvl w:ilvl="5" w:tplc="04130005" w:tentative="1">
      <w:start w:val="1"/>
      <w:numFmt w:val="bullet"/>
      <w:lvlText w:val=""/>
      <w:lvlJc w:val="left"/>
      <w:pPr>
        <w:ind w:left="3965" w:hanging="360"/>
      </w:pPr>
      <w:rPr>
        <w:rFonts w:ascii="Wingdings" w:hAnsi="Wingdings" w:hint="default"/>
      </w:rPr>
    </w:lvl>
    <w:lvl w:ilvl="6" w:tplc="04130001" w:tentative="1">
      <w:start w:val="1"/>
      <w:numFmt w:val="bullet"/>
      <w:lvlText w:val=""/>
      <w:lvlJc w:val="left"/>
      <w:pPr>
        <w:ind w:left="4685" w:hanging="360"/>
      </w:pPr>
      <w:rPr>
        <w:rFonts w:ascii="Symbol" w:hAnsi="Symbol" w:hint="default"/>
      </w:rPr>
    </w:lvl>
    <w:lvl w:ilvl="7" w:tplc="04130003" w:tentative="1">
      <w:start w:val="1"/>
      <w:numFmt w:val="bullet"/>
      <w:lvlText w:val="o"/>
      <w:lvlJc w:val="left"/>
      <w:pPr>
        <w:ind w:left="5405" w:hanging="360"/>
      </w:pPr>
      <w:rPr>
        <w:rFonts w:ascii="Courier New" w:hAnsi="Courier New" w:cs="Courier New" w:hint="default"/>
      </w:rPr>
    </w:lvl>
    <w:lvl w:ilvl="8" w:tplc="04130005" w:tentative="1">
      <w:start w:val="1"/>
      <w:numFmt w:val="bullet"/>
      <w:lvlText w:val=""/>
      <w:lvlJc w:val="left"/>
      <w:pPr>
        <w:ind w:left="6125" w:hanging="360"/>
      </w:pPr>
      <w:rPr>
        <w:rFonts w:ascii="Wingdings" w:hAnsi="Wingdings" w:hint="default"/>
      </w:rPr>
    </w:lvl>
  </w:abstractNum>
  <w:abstractNum w:abstractNumId="28" w15:restartNumberingAfterBreak="0">
    <w:nsid w:val="71064EB1"/>
    <w:multiLevelType w:val="hybridMultilevel"/>
    <w:tmpl w:val="2AE629E2"/>
    <w:lvl w:ilvl="0" w:tplc="2042E1AC">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C1DCA">
      <w:start w:val="1"/>
      <w:numFmt w:val="bullet"/>
      <w:lvlText w:val="-"/>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A03A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849C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D4E0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011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88316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20B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1093A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2B2078"/>
    <w:multiLevelType w:val="hybridMultilevel"/>
    <w:tmpl w:val="8C503F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007554"/>
    <w:multiLevelType w:val="hybridMultilevel"/>
    <w:tmpl w:val="58EAA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9EE5FF5"/>
    <w:multiLevelType w:val="hybridMultilevel"/>
    <w:tmpl w:val="2E20D4B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F5C4459"/>
    <w:multiLevelType w:val="multilevel"/>
    <w:tmpl w:val="9ABA39CA"/>
    <w:lvl w:ilvl="0">
      <w:start w:val="5"/>
      <w:numFmt w:val="decimal"/>
      <w:lvlText w:val="%1"/>
      <w:lvlJc w:val="left"/>
      <w:pPr>
        <w:ind w:left="360" w:hanging="360"/>
      </w:pPr>
      <w:rPr>
        <w:rFonts w:hint="default"/>
      </w:rPr>
    </w:lvl>
    <w:lvl w:ilvl="1">
      <w:start w:val="3"/>
      <w:numFmt w:val="decimal"/>
      <w:lvlText w:val="%1.%2"/>
      <w:lvlJc w:val="left"/>
      <w:pPr>
        <w:ind w:left="2522" w:hanging="360"/>
      </w:pPr>
      <w:rPr>
        <w:rFonts w:hint="default"/>
      </w:rPr>
    </w:lvl>
    <w:lvl w:ilvl="2">
      <w:start w:val="1"/>
      <w:numFmt w:val="decimal"/>
      <w:lvlText w:val="%1.%2.%3"/>
      <w:lvlJc w:val="left"/>
      <w:pPr>
        <w:ind w:left="5044" w:hanging="720"/>
      </w:pPr>
      <w:rPr>
        <w:rFonts w:hint="default"/>
      </w:rPr>
    </w:lvl>
    <w:lvl w:ilvl="3">
      <w:start w:val="1"/>
      <w:numFmt w:val="decimal"/>
      <w:lvlText w:val="%1.%2.%3.%4"/>
      <w:lvlJc w:val="left"/>
      <w:pPr>
        <w:ind w:left="7566"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250" w:hanging="1440"/>
      </w:pPr>
      <w:rPr>
        <w:rFonts w:hint="default"/>
      </w:rPr>
    </w:lvl>
    <w:lvl w:ilvl="6">
      <w:start w:val="1"/>
      <w:numFmt w:val="decimal"/>
      <w:lvlText w:val="%1.%2.%3.%4.%5.%6.%7"/>
      <w:lvlJc w:val="left"/>
      <w:pPr>
        <w:ind w:left="14412" w:hanging="1440"/>
      </w:pPr>
      <w:rPr>
        <w:rFonts w:hint="default"/>
      </w:rPr>
    </w:lvl>
    <w:lvl w:ilvl="7">
      <w:start w:val="1"/>
      <w:numFmt w:val="decimal"/>
      <w:lvlText w:val="%1.%2.%3.%4.%5.%6.%7.%8"/>
      <w:lvlJc w:val="left"/>
      <w:pPr>
        <w:ind w:left="16934" w:hanging="1800"/>
      </w:pPr>
      <w:rPr>
        <w:rFonts w:hint="default"/>
      </w:rPr>
    </w:lvl>
    <w:lvl w:ilvl="8">
      <w:start w:val="1"/>
      <w:numFmt w:val="decimal"/>
      <w:lvlText w:val="%1.%2.%3.%4.%5.%6.%7.%8.%9"/>
      <w:lvlJc w:val="left"/>
      <w:pPr>
        <w:ind w:left="19096" w:hanging="180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2"/>
  </w:num>
  <w:num w:numId="5">
    <w:abstractNumId w:val="0"/>
  </w:num>
  <w:num w:numId="6">
    <w:abstractNumId w:val="17"/>
  </w:num>
  <w:num w:numId="7">
    <w:abstractNumId w:val="14"/>
  </w:num>
  <w:num w:numId="8">
    <w:abstractNumId w:val="23"/>
  </w:num>
  <w:num w:numId="9">
    <w:abstractNumId w:val="11"/>
  </w:num>
  <w:num w:numId="10">
    <w:abstractNumId w:val="2"/>
  </w:num>
  <w:num w:numId="11">
    <w:abstractNumId w:val="27"/>
  </w:num>
  <w:num w:numId="12">
    <w:abstractNumId w:val="10"/>
  </w:num>
  <w:num w:numId="13">
    <w:abstractNumId w:val="30"/>
  </w:num>
  <w:num w:numId="14">
    <w:abstractNumId w:val="25"/>
  </w:num>
  <w:num w:numId="15">
    <w:abstractNumId w:val="21"/>
  </w:num>
  <w:num w:numId="16">
    <w:abstractNumId w:val="20"/>
  </w:num>
  <w:num w:numId="17">
    <w:abstractNumId w:val="22"/>
  </w:num>
  <w:num w:numId="18">
    <w:abstractNumId w:val="4"/>
  </w:num>
  <w:num w:numId="19">
    <w:abstractNumId w:val="29"/>
  </w:num>
  <w:num w:numId="20">
    <w:abstractNumId w:val="28"/>
  </w:num>
  <w:num w:numId="21">
    <w:abstractNumId w:val="7"/>
  </w:num>
  <w:num w:numId="22">
    <w:abstractNumId w:val="15"/>
  </w:num>
  <w:num w:numId="23">
    <w:abstractNumId w:val="5"/>
  </w:num>
  <w:num w:numId="24">
    <w:abstractNumId w:val="16"/>
  </w:num>
  <w:num w:numId="25">
    <w:abstractNumId w:val="9"/>
  </w:num>
  <w:num w:numId="26">
    <w:abstractNumId w:val="18"/>
  </w:num>
  <w:num w:numId="27">
    <w:abstractNumId w:val="3"/>
  </w:num>
  <w:num w:numId="28">
    <w:abstractNumId w:val="32"/>
  </w:num>
  <w:num w:numId="29">
    <w:abstractNumId w:val="26"/>
  </w:num>
  <w:num w:numId="30">
    <w:abstractNumId w:val="19"/>
  </w:num>
  <w:num w:numId="31">
    <w:abstractNumId w:val="13"/>
  </w:num>
  <w:num w:numId="32">
    <w:abstractNumId w:val="31"/>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96"/>
    <w:rsid w:val="00005107"/>
    <w:rsid w:val="00005A60"/>
    <w:rsid w:val="00027C73"/>
    <w:rsid w:val="00027D69"/>
    <w:rsid w:val="0003194C"/>
    <w:rsid w:val="00035EA2"/>
    <w:rsid w:val="000404E3"/>
    <w:rsid w:val="00041ABB"/>
    <w:rsid w:val="000527DC"/>
    <w:rsid w:val="000600CB"/>
    <w:rsid w:val="000608CC"/>
    <w:rsid w:val="00065B19"/>
    <w:rsid w:val="00075484"/>
    <w:rsid w:val="000811F5"/>
    <w:rsid w:val="0008236D"/>
    <w:rsid w:val="0008517C"/>
    <w:rsid w:val="00097CE1"/>
    <w:rsid w:val="000A2FFD"/>
    <w:rsid w:val="000A73F8"/>
    <w:rsid w:val="000B440A"/>
    <w:rsid w:val="000C0EEF"/>
    <w:rsid w:val="000C620B"/>
    <w:rsid w:val="000C649C"/>
    <w:rsid w:val="000C7CCA"/>
    <w:rsid w:val="000C7FF0"/>
    <w:rsid w:val="000D4CDD"/>
    <w:rsid w:val="000D67C1"/>
    <w:rsid w:val="000E1B40"/>
    <w:rsid w:val="000E43F8"/>
    <w:rsid w:val="000E4ABC"/>
    <w:rsid w:val="000E6CA4"/>
    <w:rsid w:val="000F0E4C"/>
    <w:rsid w:val="000F24D4"/>
    <w:rsid w:val="00101A94"/>
    <w:rsid w:val="001022C4"/>
    <w:rsid w:val="00102EE5"/>
    <w:rsid w:val="00103601"/>
    <w:rsid w:val="001038EF"/>
    <w:rsid w:val="00106C9E"/>
    <w:rsid w:val="00123702"/>
    <w:rsid w:val="00125313"/>
    <w:rsid w:val="001255CD"/>
    <w:rsid w:val="00133529"/>
    <w:rsid w:val="00133F19"/>
    <w:rsid w:val="001358FA"/>
    <w:rsid w:val="00161344"/>
    <w:rsid w:val="00161AF6"/>
    <w:rsid w:val="0016281C"/>
    <w:rsid w:val="00174043"/>
    <w:rsid w:val="001742AC"/>
    <w:rsid w:val="001773D3"/>
    <w:rsid w:val="00192E3A"/>
    <w:rsid w:val="00192E42"/>
    <w:rsid w:val="001B411F"/>
    <w:rsid w:val="001B78E0"/>
    <w:rsid w:val="001C2BF3"/>
    <w:rsid w:val="001C683A"/>
    <w:rsid w:val="001D23AE"/>
    <w:rsid w:val="001D23B8"/>
    <w:rsid w:val="001E322A"/>
    <w:rsid w:val="001E468B"/>
    <w:rsid w:val="001F10AB"/>
    <w:rsid w:val="001F1992"/>
    <w:rsid w:val="001F23CB"/>
    <w:rsid w:val="001F437A"/>
    <w:rsid w:val="001F7445"/>
    <w:rsid w:val="00203086"/>
    <w:rsid w:val="002038D4"/>
    <w:rsid w:val="00205BEF"/>
    <w:rsid w:val="002065A7"/>
    <w:rsid w:val="00207BF3"/>
    <w:rsid w:val="00210ADE"/>
    <w:rsid w:val="00226F25"/>
    <w:rsid w:val="002341EC"/>
    <w:rsid w:val="002440AA"/>
    <w:rsid w:val="00252E79"/>
    <w:rsid w:val="0025373E"/>
    <w:rsid w:val="002564EA"/>
    <w:rsid w:val="00256FA6"/>
    <w:rsid w:val="00257061"/>
    <w:rsid w:val="002729E0"/>
    <w:rsid w:val="00276133"/>
    <w:rsid w:val="002831C1"/>
    <w:rsid w:val="00287DFC"/>
    <w:rsid w:val="00295B97"/>
    <w:rsid w:val="00296B6C"/>
    <w:rsid w:val="002A4BC8"/>
    <w:rsid w:val="002A54CF"/>
    <w:rsid w:val="002A774B"/>
    <w:rsid w:val="002A7C4F"/>
    <w:rsid w:val="002B2465"/>
    <w:rsid w:val="002B5C34"/>
    <w:rsid w:val="002D076D"/>
    <w:rsid w:val="002D4F4C"/>
    <w:rsid w:val="002D6BE7"/>
    <w:rsid w:val="002E10DD"/>
    <w:rsid w:val="002E216D"/>
    <w:rsid w:val="002E3B18"/>
    <w:rsid w:val="002E4AE9"/>
    <w:rsid w:val="002E5593"/>
    <w:rsid w:val="002F1D57"/>
    <w:rsid w:val="002F3133"/>
    <w:rsid w:val="002F7304"/>
    <w:rsid w:val="0030220A"/>
    <w:rsid w:val="00307667"/>
    <w:rsid w:val="00310F48"/>
    <w:rsid w:val="00323413"/>
    <w:rsid w:val="003245F2"/>
    <w:rsid w:val="003269F6"/>
    <w:rsid w:val="00327DB6"/>
    <w:rsid w:val="00330A66"/>
    <w:rsid w:val="0033150C"/>
    <w:rsid w:val="00335AC0"/>
    <w:rsid w:val="003432BA"/>
    <w:rsid w:val="003546D9"/>
    <w:rsid w:val="003553D2"/>
    <w:rsid w:val="00355D4B"/>
    <w:rsid w:val="003839B2"/>
    <w:rsid w:val="00383D91"/>
    <w:rsid w:val="00385FDF"/>
    <w:rsid w:val="0038776F"/>
    <w:rsid w:val="00394415"/>
    <w:rsid w:val="003A50E5"/>
    <w:rsid w:val="003A7F70"/>
    <w:rsid w:val="003B0252"/>
    <w:rsid w:val="003B11E0"/>
    <w:rsid w:val="003B1C7F"/>
    <w:rsid w:val="003B202D"/>
    <w:rsid w:val="003B440A"/>
    <w:rsid w:val="003B4E70"/>
    <w:rsid w:val="003B5A56"/>
    <w:rsid w:val="003B7C5A"/>
    <w:rsid w:val="003C036F"/>
    <w:rsid w:val="003C1F66"/>
    <w:rsid w:val="003C3EAB"/>
    <w:rsid w:val="003C71EF"/>
    <w:rsid w:val="003D0004"/>
    <w:rsid w:val="003D0BD8"/>
    <w:rsid w:val="003D1499"/>
    <w:rsid w:val="003D46A2"/>
    <w:rsid w:val="003D6041"/>
    <w:rsid w:val="003D74B9"/>
    <w:rsid w:val="003E04AF"/>
    <w:rsid w:val="003E059A"/>
    <w:rsid w:val="003E1DD6"/>
    <w:rsid w:val="003E203F"/>
    <w:rsid w:val="003E4127"/>
    <w:rsid w:val="003E53B0"/>
    <w:rsid w:val="003E6460"/>
    <w:rsid w:val="003F2595"/>
    <w:rsid w:val="003F6085"/>
    <w:rsid w:val="00410F88"/>
    <w:rsid w:val="00411322"/>
    <w:rsid w:val="00417C77"/>
    <w:rsid w:val="0042317F"/>
    <w:rsid w:val="00425038"/>
    <w:rsid w:val="00432799"/>
    <w:rsid w:val="00441793"/>
    <w:rsid w:val="004467AE"/>
    <w:rsid w:val="00454628"/>
    <w:rsid w:val="00454A73"/>
    <w:rsid w:val="00465A12"/>
    <w:rsid w:val="0047300F"/>
    <w:rsid w:val="00473DA2"/>
    <w:rsid w:val="00484ABA"/>
    <w:rsid w:val="00485286"/>
    <w:rsid w:val="00491DAE"/>
    <w:rsid w:val="004941ED"/>
    <w:rsid w:val="00496D55"/>
    <w:rsid w:val="004A7701"/>
    <w:rsid w:val="004B5A0A"/>
    <w:rsid w:val="004B6CF5"/>
    <w:rsid w:val="004D30C2"/>
    <w:rsid w:val="004D3928"/>
    <w:rsid w:val="004D7B2C"/>
    <w:rsid w:val="004E3C11"/>
    <w:rsid w:val="004E413E"/>
    <w:rsid w:val="004E6592"/>
    <w:rsid w:val="004E6AF2"/>
    <w:rsid w:val="004F0BD4"/>
    <w:rsid w:val="004F1D82"/>
    <w:rsid w:val="004F444A"/>
    <w:rsid w:val="004F5EBE"/>
    <w:rsid w:val="004F7898"/>
    <w:rsid w:val="00506A56"/>
    <w:rsid w:val="00507337"/>
    <w:rsid w:val="0050746B"/>
    <w:rsid w:val="00507888"/>
    <w:rsid w:val="00514AC4"/>
    <w:rsid w:val="00515353"/>
    <w:rsid w:val="00515A97"/>
    <w:rsid w:val="00515DCC"/>
    <w:rsid w:val="00524E8C"/>
    <w:rsid w:val="00531BEC"/>
    <w:rsid w:val="00534187"/>
    <w:rsid w:val="005346E7"/>
    <w:rsid w:val="0053509F"/>
    <w:rsid w:val="00535474"/>
    <w:rsid w:val="00542207"/>
    <w:rsid w:val="00542F82"/>
    <w:rsid w:val="00550A51"/>
    <w:rsid w:val="00551359"/>
    <w:rsid w:val="00555148"/>
    <w:rsid w:val="00560DB7"/>
    <w:rsid w:val="00564CBA"/>
    <w:rsid w:val="00566D46"/>
    <w:rsid w:val="00567B2A"/>
    <w:rsid w:val="00574C27"/>
    <w:rsid w:val="00575270"/>
    <w:rsid w:val="00582036"/>
    <w:rsid w:val="0058209B"/>
    <w:rsid w:val="00583AB1"/>
    <w:rsid w:val="00584164"/>
    <w:rsid w:val="0058624D"/>
    <w:rsid w:val="00590016"/>
    <w:rsid w:val="0059459C"/>
    <w:rsid w:val="005A371E"/>
    <w:rsid w:val="005A4B0C"/>
    <w:rsid w:val="005A4F0F"/>
    <w:rsid w:val="005A7974"/>
    <w:rsid w:val="005B12CE"/>
    <w:rsid w:val="005B1898"/>
    <w:rsid w:val="005B3547"/>
    <w:rsid w:val="005B4CB6"/>
    <w:rsid w:val="005C1F48"/>
    <w:rsid w:val="005C268B"/>
    <w:rsid w:val="005D0D9F"/>
    <w:rsid w:val="005D2EED"/>
    <w:rsid w:val="005D6327"/>
    <w:rsid w:val="005F04FA"/>
    <w:rsid w:val="006017A0"/>
    <w:rsid w:val="00601A68"/>
    <w:rsid w:val="006041A9"/>
    <w:rsid w:val="00614C05"/>
    <w:rsid w:val="00616E1F"/>
    <w:rsid w:val="00620DB9"/>
    <w:rsid w:val="006217FF"/>
    <w:rsid w:val="006367D0"/>
    <w:rsid w:val="006540D3"/>
    <w:rsid w:val="00660341"/>
    <w:rsid w:val="00664E49"/>
    <w:rsid w:val="0067229C"/>
    <w:rsid w:val="00672EB6"/>
    <w:rsid w:val="00674AFD"/>
    <w:rsid w:val="006750B5"/>
    <w:rsid w:val="006779A5"/>
    <w:rsid w:val="00680B6C"/>
    <w:rsid w:val="00680BE6"/>
    <w:rsid w:val="00681E37"/>
    <w:rsid w:val="00681EC5"/>
    <w:rsid w:val="006824CA"/>
    <w:rsid w:val="00690CF8"/>
    <w:rsid w:val="006922D8"/>
    <w:rsid w:val="00694A12"/>
    <w:rsid w:val="00694ECF"/>
    <w:rsid w:val="006A27BD"/>
    <w:rsid w:val="006A7AD0"/>
    <w:rsid w:val="006B29FD"/>
    <w:rsid w:val="006C4E0B"/>
    <w:rsid w:val="006D286D"/>
    <w:rsid w:val="006D3F43"/>
    <w:rsid w:val="006F2743"/>
    <w:rsid w:val="006F5F1A"/>
    <w:rsid w:val="007010E0"/>
    <w:rsid w:val="007060B1"/>
    <w:rsid w:val="007069E7"/>
    <w:rsid w:val="0071059B"/>
    <w:rsid w:val="0071619B"/>
    <w:rsid w:val="007213B4"/>
    <w:rsid w:val="00724F6F"/>
    <w:rsid w:val="00736AC6"/>
    <w:rsid w:val="00737A57"/>
    <w:rsid w:val="007406F7"/>
    <w:rsid w:val="00740884"/>
    <w:rsid w:val="00742161"/>
    <w:rsid w:val="00745DF7"/>
    <w:rsid w:val="007542F3"/>
    <w:rsid w:val="00756BDF"/>
    <w:rsid w:val="00757999"/>
    <w:rsid w:val="00761515"/>
    <w:rsid w:val="00761E00"/>
    <w:rsid w:val="007632FD"/>
    <w:rsid w:val="007748E6"/>
    <w:rsid w:val="007760E0"/>
    <w:rsid w:val="00784547"/>
    <w:rsid w:val="0079004B"/>
    <w:rsid w:val="0079137A"/>
    <w:rsid w:val="00791AA7"/>
    <w:rsid w:val="007944D7"/>
    <w:rsid w:val="007952D7"/>
    <w:rsid w:val="007965C4"/>
    <w:rsid w:val="007977A7"/>
    <w:rsid w:val="007A00A8"/>
    <w:rsid w:val="007A4523"/>
    <w:rsid w:val="007B6316"/>
    <w:rsid w:val="007B7410"/>
    <w:rsid w:val="007C2587"/>
    <w:rsid w:val="007C3808"/>
    <w:rsid w:val="007C42AE"/>
    <w:rsid w:val="007C5689"/>
    <w:rsid w:val="007C7FEE"/>
    <w:rsid w:val="007E0F4B"/>
    <w:rsid w:val="007E1877"/>
    <w:rsid w:val="007E3280"/>
    <w:rsid w:val="007E4757"/>
    <w:rsid w:val="007E5B69"/>
    <w:rsid w:val="007F103B"/>
    <w:rsid w:val="008042C7"/>
    <w:rsid w:val="00807CCF"/>
    <w:rsid w:val="008364A6"/>
    <w:rsid w:val="00837C54"/>
    <w:rsid w:val="0084555F"/>
    <w:rsid w:val="00853B56"/>
    <w:rsid w:val="008701BB"/>
    <w:rsid w:val="008709A9"/>
    <w:rsid w:val="00873911"/>
    <w:rsid w:val="00875B1D"/>
    <w:rsid w:val="00875C85"/>
    <w:rsid w:val="0087652C"/>
    <w:rsid w:val="00882EDD"/>
    <w:rsid w:val="00887219"/>
    <w:rsid w:val="0088796B"/>
    <w:rsid w:val="00887B4B"/>
    <w:rsid w:val="00887F58"/>
    <w:rsid w:val="008909A1"/>
    <w:rsid w:val="008928D3"/>
    <w:rsid w:val="0089412F"/>
    <w:rsid w:val="0089496D"/>
    <w:rsid w:val="00895660"/>
    <w:rsid w:val="008978E5"/>
    <w:rsid w:val="008A3FE0"/>
    <w:rsid w:val="008A488E"/>
    <w:rsid w:val="008A541B"/>
    <w:rsid w:val="008B2BE9"/>
    <w:rsid w:val="008B2CA5"/>
    <w:rsid w:val="008B4E6C"/>
    <w:rsid w:val="008B5ABE"/>
    <w:rsid w:val="008B678F"/>
    <w:rsid w:val="008C0B27"/>
    <w:rsid w:val="008C2610"/>
    <w:rsid w:val="008C4C2F"/>
    <w:rsid w:val="008C68F9"/>
    <w:rsid w:val="008C7529"/>
    <w:rsid w:val="008D7B11"/>
    <w:rsid w:val="008F0288"/>
    <w:rsid w:val="008F1976"/>
    <w:rsid w:val="008F1D3A"/>
    <w:rsid w:val="008F791F"/>
    <w:rsid w:val="008F79B1"/>
    <w:rsid w:val="00901CDC"/>
    <w:rsid w:val="00902BBE"/>
    <w:rsid w:val="00903B4D"/>
    <w:rsid w:val="00915FDF"/>
    <w:rsid w:val="00916F80"/>
    <w:rsid w:val="00923874"/>
    <w:rsid w:val="0092635C"/>
    <w:rsid w:val="009266FE"/>
    <w:rsid w:val="00931F9E"/>
    <w:rsid w:val="009335E5"/>
    <w:rsid w:val="00934BF7"/>
    <w:rsid w:val="00935463"/>
    <w:rsid w:val="00936156"/>
    <w:rsid w:val="00940306"/>
    <w:rsid w:val="00951669"/>
    <w:rsid w:val="0095467C"/>
    <w:rsid w:val="00954B2C"/>
    <w:rsid w:val="00966B05"/>
    <w:rsid w:val="00970CBC"/>
    <w:rsid w:val="009876A5"/>
    <w:rsid w:val="009A1AE2"/>
    <w:rsid w:val="009A7F99"/>
    <w:rsid w:val="009B0D44"/>
    <w:rsid w:val="009C315F"/>
    <w:rsid w:val="009C6DDE"/>
    <w:rsid w:val="009E0263"/>
    <w:rsid w:val="009E0FD0"/>
    <w:rsid w:val="009E5DDD"/>
    <w:rsid w:val="009E6723"/>
    <w:rsid w:val="009E6C87"/>
    <w:rsid w:val="009E729D"/>
    <w:rsid w:val="009E7594"/>
    <w:rsid w:val="009F15BF"/>
    <w:rsid w:val="009F4894"/>
    <w:rsid w:val="00A06D0B"/>
    <w:rsid w:val="00A0785D"/>
    <w:rsid w:val="00A1413A"/>
    <w:rsid w:val="00A14735"/>
    <w:rsid w:val="00A1773B"/>
    <w:rsid w:val="00A252C9"/>
    <w:rsid w:val="00A43999"/>
    <w:rsid w:val="00A52EDE"/>
    <w:rsid w:val="00A55599"/>
    <w:rsid w:val="00A562A5"/>
    <w:rsid w:val="00A57924"/>
    <w:rsid w:val="00A60577"/>
    <w:rsid w:val="00A7127C"/>
    <w:rsid w:val="00A74FFC"/>
    <w:rsid w:val="00A770B0"/>
    <w:rsid w:val="00A922AC"/>
    <w:rsid w:val="00A92BEF"/>
    <w:rsid w:val="00A95BAA"/>
    <w:rsid w:val="00AA3926"/>
    <w:rsid w:val="00AA3A18"/>
    <w:rsid w:val="00AA5C86"/>
    <w:rsid w:val="00AA779B"/>
    <w:rsid w:val="00AB0E4B"/>
    <w:rsid w:val="00AB3964"/>
    <w:rsid w:val="00AB751F"/>
    <w:rsid w:val="00AB7F57"/>
    <w:rsid w:val="00AC2A69"/>
    <w:rsid w:val="00AD13E3"/>
    <w:rsid w:val="00AD434C"/>
    <w:rsid w:val="00AD4C29"/>
    <w:rsid w:val="00AE0A80"/>
    <w:rsid w:val="00AE614D"/>
    <w:rsid w:val="00AE7A82"/>
    <w:rsid w:val="00AF61DF"/>
    <w:rsid w:val="00AF6521"/>
    <w:rsid w:val="00B10F64"/>
    <w:rsid w:val="00B131BF"/>
    <w:rsid w:val="00B15416"/>
    <w:rsid w:val="00B176BF"/>
    <w:rsid w:val="00B23124"/>
    <w:rsid w:val="00B258DF"/>
    <w:rsid w:val="00B27E53"/>
    <w:rsid w:val="00B327C0"/>
    <w:rsid w:val="00B32BFB"/>
    <w:rsid w:val="00B33103"/>
    <w:rsid w:val="00B33A59"/>
    <w:rsid w:val="00B35512"/>
    <w:rsid w:val="00B357BF"/>
    <w:rsid w:val="00B35AD8"/>
    <w:rsid w:val="00B370DA"/>
    <w:rsid w:val="00B52417"/>
    <w:rsid w:val="00B52553"/>
    <w:rsid w:val="00B53E72"/>
    <w:rsid w:val="00B547D9"/>
    <w:rsid w:val="00B574D9"/>
    <w:rsid w:val="00B74092"/>
    <w:rsid w:val="00B747FB"/>
    <w:rsid w:val="00B74B98"/>
    <w:rsid w:val="00B811B2"/>
    <w:rsid w:val="00B84CF9"/>
    <w:rsid w:val="00B8789F"/>
    <w:rsid w:val="00B93B44"/>
    <w:rsid w:val="00BA1DA3"/>
    <w:rsid w:val="00BA3C80"/>
    <w:rsid w:val="00BC3842"/>
    <w:rsid w:val="00BE4950"/>
    <w:rsid w:val="00BE6444"/>
    <w:rsid w:val="00BF1450"/>
    <w:rsid w:val="00BF20BD"/>
    <w:rsid w:val="00BF22E2"/>
    <w:rsid w:val="00BF53BE"/>
    <w:rsid w:val="00BF5E33"/>
    <w:rsid w:val="00C0517F"/>
    <w:rsid w:val="00C05D96"/>
    <w:rsid w:val="00C069D2"/>
    <w:rsid w:val="00C102D2"/>
    <w:rsid w:val="00C151B6"/>
    <w:rsid w:val="00C16E25"/>
    <w:rsid w:val="00C17553"/>
    <w:rsid w:val="00C17FC3"/>
    <w:rsid w:val="00C20DD6"/>
    <w:rsid w:val="00C22412"/>
    <w:rsid w:val="00C2425A"/>
    <w:rsid w:val="00C2433C"/>
    <w:rsid w:val="00C251A1"/>
    <w:rsid w:val="00C2611F"/>
    <w:rsid w:val="00C43CA6"/>
    <w:rsid w:val="00C502C7"/>
    <w:rsid w:val="00C61601"/>
    <w:rsid w:val="00C622F7"/>
    <w:rsid w:val="00C66BAA"/>
    <w:rsid w:val="00C73284"/>
    <w:rsid w:val="00C7511C"/>
    <w:rsid w:val="00C802FF"/>
    <w:rsid w:val="00C81F03"/>
    <w:rsid w:val="00C8354D"/>
    <w:rsid w:val="00C97BE3"/>
    <w:rsid w:val="00CA16BC"/>
    <w:rsid w:val="00CB10AA"/>
    <w:rsid w:val="00CB72DA"/>
    <w:rsid w:val="00CC096B"/>
    <w:rsid w:val="00CC3927"/>
    <w:rsid w:val="00CE1A5D"/>
    <w:rsid w:val="00CE58B3"/>
    <w:rsid w:val="00CF0161"/>
    <w:rsid w:val="00CF4BD8"/>
    <w:rsid w:val="00CF7654"/>
    <w:rsid w:val="00D01642"/>
    <w:rsid w:val="00D03DE0"/>
    <w:rsid w:val="00D053C9"/>
    <w:rsid w:val="00D0735B"/>
    <w:rsid w:val="00D12AC7"/>
    <w:rsid w:val="00D132F3"/>
    <w:rsid w:val="00D1427A"/>
    <w:rsid w:val="00D14C07"/>
    <w:rsid w:val="00D20BA4"/>
    <w:rsid w:val="00D2384E"/>
    <w:rsid w:val="00D30ECF"/>
    <w:rsid w:val="00D41460"/>
    <w:rsid w:val="00D41CB3"/>
    <w:rsid w:val="00D4393F"/>
    <w:rsid w:val="00D44A46"/>
    <w:rsid w:val="00D450C1"/>
    <w:rsid w:val="00D4706B"/>
    <w:rsid w:val="00D52150"/>
    <w:rsid w:val="00D535CC"/>
    <w:rsid w:val="00D5456A"/>
    <w:rsid w:val="00D571CC"/>
    <w:rsid w:val="00D62BA8"/>
    <w:rsid w:val="00D638FB"/>
    <w:rsid w:val="00D64D88"/>
    <w:rsid w:val="00D86452"/>
    <w:rsid w:val="00D9312D"/>
    <w:rsid w:val="00D9415F"/>
    <w:rsid w:val="00DA2A02"/>
    <w:rsid w:val="00DA644B"/>
    <w:rsid w:val="00DB2118"/>
    <w:rsid w:val="00DB2967"/>
    <w:rsid w:val="00DB3BF3"/>
    <w:rsid w:val="00DB4BDC"/>
    <w:rsid w:val="00DC005F"/>
    <w:rsid w:val="00DC121C"/>
    <w:rsid w:val="00DC28C7"/>
    <w:rsid w:val="00DC399B"/>
    <w:rsid w:val="00DC4D37"/>
    <w:rsid w:val="00DC6534"/>
    <w:rsid w:val="00DE5E3D"/>
    <w:rsid w:val="00E058DD"/>
    <w:rsid w:val="00E06B2F"/>
    <w:rsid w:val="00E16ED9"/>
    <w:rsid w:val="00E27D56"/>
    <w:rsid w:val="00E34C0A"/>
    <w:rsid w:val="00E3556B"/>
    <w:rsid w:val="00E4323D"/>
    <w:rsid w:val="00E43D00"/>
    <w:rsid w:val="00E51814"/>
    <w:rsid w:val="00E51D99"/>
    <w:rsid w:val="00E51F41"/>
    <w:rsid w:val="00E56D17"/>
    <w:rsid w:val="00E63D86"/>
    <w:rsid w:val="00E67E98"/>
    <w:rsid w:val="00E74897"/>
    <w:rsid w:val="00E846C3"/>
    <w:rsid w:val="00E863E9"/>
    <w:rsid w:val="00E92F43"/>
    <w:rsid w:val="00E930C5"/>
    <w:rsid w:val="00E94F50"/>
    <w:rsid w:val="00E958B5"/>
    <w:rsid w:val="00E958F9"/>
    <w:rsid w:val="00E96E46"/>
    <w:rsid w:val="00E97737"/>
    <w:rsid w:val="00EA2826"/>
    <w:rsid w:val="00EB3F64"/>
    <w:rsid w:val="00EC550B"/>
    <w:rsid w:val="00ED258F"/>
    <w:rsid w:val="00ED2775"/>
    <w:rsid w:val="00EE04C4"/>
    <w:rsid w:val="00EE32BD"/>
    <w:rsid w:val="00EE40E2"/>
    <w:rsid w:val="00EF2749"/>
    <w:rsid w:val="00EF6C6C"/>
    <w:rsid w:val="00EF773F"/>
    <w:rsid w:val="00F03725"/>
    <w:rsid w:val="00F053AD"/>
    <w:rsid w:val="00F05D41"/>
    <w:rsid w:val="00F11E5E"/>
    <w:rsid w:val="00F22596"/>
    <w:rsid w:val="00F23B3C"/>
    <w:rsid w:val="00F25983"/>
    <w:rsid w:val="00F2616B"/>
    <w:rsid w:val="00F30D98"/>
    <w:rsid w:val="00F33175"/>
    <w:rsid w:val="00F434D8"/>
    <w:rsid w:val="00F450E9"/>
    <w:rsid w:val="00F46EF8"/>
    <w:rsid w:val="00F47196"/>
    <w:rsid w:val="00F556D3"/>
    <w:rsid w:val="00F60056"/>
    <w:rsid w:val="00F6348F"/>
    <w:rsid w:val="00F637E8"/>
    <w:rsid w:val="00F67B24"/>
    <w:rsid w:val="00F700B5"/>
    <w:rsid w:val="00F71741"/>
    <w:rsid w:val="00F735C3"/>
    <w:rsid w:val="00F75842"/>
    <w:rsid w:val="00F8335A"/>
    <w:rsid w:val="00F84270"/>
    <w:rsid w:val="00F8439A"/>
    <w:rsid w:val="00F84569"/>
    <w:rsid w:val="00F9157B"/>
    <w:rsid w:val="00F93B18"/>
    <w:rsid w:val="00F945B8"/>
    <w:rsid w:val="00F94D93"/>
    <w:rsid w:val="00F94F66"/>
    <w:rsid w:val="00FA17CF"/>
    <w:rsid w:val="00FA380B"/>
    <w:rsid w:val="00FA6414"/>
    <w:rsid w:val="00FB03DE"/>
    <w:rsid w:val="00FB05CB"/>
    <w:rsid w:val="00FB4E4B"/>
    <w:rsid w:val="00FB6152"/>
    <w:rsid w:val="00FB7B0C"/>
    <w:rsid w:val="00FC214C"/>
    <w:rsid w:val="00FD2A67"/>
    <w:rsid w:val="00FD3963"/>
    <w:rsid w:val="00FD5E5A"/>
    <w:rsid w:val="00FD6045"/>
    <w:rsid w:val="00FE2584"/>
    <w:rsid w:val="00FE7940"/>
    <w:rsid w:val="00FF4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9CF377"/>
  <w15:docId w15:val="{382D4B3C-8FEC-4837-9042-1663756C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tekst"/>
    <w:qFormat/>
    <w:rsid w:val="00C102D2"/>
    <w:pPr>
      <w:spacing w:after="0" w:line="280" w:lineRule="exact"/>
    </w:pPr>
    <w:rPr>
      <w:rFonts w:ascii="Arial" w:hAnsi="Arial"/>
      <w:sz w:val="20"/>
    </w:rPr>
  </w:style>
  <w:style w:type="paragraph" w:styleId="Kop1">
    <w:name w:val="heading 1"/>
    <w:aliases w:val="Hoofdstuk"/>
    <w:basedOn w:val="Standaard"/>
    <w:next w:val="Standaard"/>
    <w:link w:val="Kop1Char"/>
    <w:qFormat/>
    <w:rsid w:val="004B5A0A"/>
    <w:pPr>
      <w:keepNext/>
      <w:keepLines/>
      <w:spacing w:line="240" w:lineRule="auto"/>
      <w:outlineLvl w:val="0"/>
    </w:pPr>
    <w:rPr>
      <w:rFonts w:eastAsiaTheme="majorEastAsia" w:cstheme="majorBidi"/>
      <w:b/>
      <w:color w:val="005B82"/>
      <w:sz w:val="28"/>
      <w:szCs w:val="32"/>
    </w:rPr>
  </w:style>
  <w:style w:type="paragraph" w:styleId="Kop2">
    <w:name w:val="heading 2"/>
    <w:basedOn w:val="Standaard"/>
    <w:next w:val="Standaard"/>
    <w:link w:val="Kop2Char"/>
    <w:uiPriority w:val="9"/>
    <w:unhideWhenUsed/>
    <w:qFormat/>
    <w:rsid w:val="004B5A0A"/>
    <w:pPr>
      <w:keepNext/>
      <w:keepLines/>
      <w:spacing w:line="240" w:lineRule="auto"/>
      <w:outlineLvl w:val="1"/>
    </w:pPr>
    <w:rPr>
      <w:rFonts w:eastAsiaTheme="majorEastAsia" w:cstheme="majorBidi"/>
      <w:b/>
      <w:color w:val="005B82"/>
      <w:sz w:val="24"/>
      <w:szCs w:val="26"/>
    </w:rPr>
  </w:style>
  <w:style w:type="paragraph" w:styleId="Kop3">
    <w:name w:val="heading 3"/>
    <w:aliases w:val="Sub-paragraaf"/>
    <w:basedOn w:val="Standaard"/>
    <w:next w:val="Standaard"/>
    <w:link w:val="Kop3Char"/>
    <w:unhideWhenUsed/>
    <w:qFormat/>
    <w:rsid w:val="003E1DD6"/>
    <w:pPr>
      <w:keepNext/>
      <w:keepLines/>
      <w:spacing w:line="240" w:lineRule="auto"/>
      <w:outlineLvl w:val="2"/>
    </w:pPr>
    <w:rPr>
      <w:rFonts w:eastAsiaTheme="majorEastAsia" w:cstheme="majorBidi"/>
      <w:b/>
      <w:color w:val="1F4D78" w:themeColor="accent1" w:themeShade="7F"/>
      <w:szCs w:val="24"/>
    </w:rPr>
  </w:style>
  <w:style w:type="paragraph" w:styleId="Kop4">
    <w:name w:val="heading 4"/>
    <w:aliases w:val="Kop 3:"/>
    <w:basedOn w:val="Kop3"/>
    <w:next w:val="Standaard"/>
    <w:link w:val="Kop4Char"/>
    <w:unhideWhenUsed/>
    <w:qFormat/>
    <w:rsid w:val="003E1DD6"/>
    <w:pPr>
      <w:outlineLvl w:val="3"/>
    </w:pPr>
    <w:rPr>
      <w:iCs/>
      <w:color w:val="005B82"/>
    </w:rPr>
  </w:style>
  <w:style w:type="paragraph" w:styleId="Kop5">
    <w:name w:val="heading 5"/>
    <w:aliases w:val="Tabel wit tekst"/>
    <w:basedOn w:val="Standaard"/>
    <w:next w:val="Standaard"/>
    <w:link w:val="Kop5Char"/>
    <w:unhideWhenUsed/>
    <w:qFormat/>
    <w:rsid w:val="004B5A0A"/>
    <w:pPr>
      <w:keepNext/>
      <w:keepLines/>
      <w:spacing w:line="240" w:lineRule="auto"/>
      <w:outlineLvl w:val="4"/>
    </w:pPr>
    <w:rPr>
      <w:rFonts w:eastAsiaTheme="majorEastAsia" w:cstheme="majorBidi"/>
      <w:b/>
      <w:color w:val="FFFFFF" w:themeColor="background1"/>
    </w:rPr>
  </w:style>
  <w:style w:type="paragraph" w:styleId="Kop6">
    <w:name w:val="heading 6"/>
    <w:basedOn w:val="Standaard"/>
    <w:next w:val="Standaard"/>
    <w:link w:val="Kop6Char"/>
    <w:unhideWhenUsed/>
    <w:qFormat/>
    <w:rsid w:val="000C620B"/>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qFormat/>
    <w:rsid w:val="000C620B"/>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qFormat/>
    <w:rsid w:val="002038D4"/>
    <w:pPr>
      <w:tabs>
        <w:tab w:val="num" w:pos="0"/>
      </w:tabs>
      <w:spacing w:before="240" w:after="60" w:line="240" w:lineRule="auto"/>
      <w:outlineLvl w:val="7"/>
    </w:pPr>
    <w:rPr>
      <w:rFonts w:eastAsia="Times New Roman" w:cs="Times New Roman"/>
      <w:i/>
      <w:sz w:val="18"/>
      <w:szCs w:val="20"/>
      <w:lang w:val="nl"/>
    </w:rPr>
  </w:style>
  <w:style w:type="paragraph" w:styleId="Kop9">
    <w:name w:val="heading 9"/>
    <w:aliases w:val="Bijlage"/>
    <w:basedOn w:val="Standaard"/>
    <w:next w:val="Standaard"/>
    <w:link w:val="Kop9Char"/>
    <w:qFormat/>
    <w:rsid w:val="002038D4"/>
    <w:pPr>
      <w:tabs>
        <w:tab w:val="num" w:pos="1277"/>
      </w:tabs>
      <w:spacing w:before="240" w:after="240" w:line="240" w:lineRule="auto"/>
      <w:ind w:left="1277"/>
      <w:outlineLvl w:val="8"/>
    </w:pPr>
    <w:rPr>
      <w:rFonts w:ascii="Verdana" w:eastAsia="Times New Roman" w:hAnsi="Verdana" w:cs="Times New Roman"/>
      <w:b/>
      <w:caps/>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1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47196"/>
  </w:style>
  <w:style w:type="paragraph" w:styleId="Voettekst">
    <w:name w:val="footer"/>
    <w:basedOn w:val="Standaard"/>
    <w:link w:val="VoettekstChar"/>
    <w:uiPriority w:val="99"/>
    <w:unhideWhenUsed/>
    <w:rsid w:val="00F471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47196"/>
  </w:style>
  <w:style w:type="character" w:customStyle="1" w:styleId="Kop1Char">
    <w:name w:val="Kop 1 Char"/>
    <w:aliases w:val="Hoofdstuk Char"/>
    <w:basedOn w:val="Standaardalinea-lettertype"/>
    <w:link w:val="Kop1"/>
    <w:uiPriority w:val="9"/>
    <w:rsid w:val="004B5A0A"/>
    <w:rPr>
      <w:rFonts w:ascii="Arial" w:eastAsiaTheme="majorEastAsia" w:hAnsi="Arial" w:cstheme="majorBidi"/>
      <w:b/>
      <w:color w:val="005B82"/>
      <w:sz w:val="28"/>
      <w:szCs w:val="32"/>
    </w:rPr>
  </w:style>
  <w:style w:type="character" w:customStyle="1" w:styleId="Kop2Char">
    <w:name w:val="Kop 2 Char"/>
    <w:basedOn w:val="Standaardalinea-lettertype"/>
    <w:link w:val="Kop2"/>
    <w:uiPriority w:val="9"/>
    <w:rsid w:val="004B5A0A"/>
    <w:rPr>
      <w:rFonts w:ascii="Arial" w:eastAsiaTheme="majorEastAsia" w:hAnsi="Arial" w:cstheme="majorBidi"/>
      <w:b/>
      <w:color w:val="005B82"/>
      <w:sz w:val="24"/>
      <w:szCs w:val="26"/>
    </w:rPr>
  </w:style>
  <w:style w:type="paragraph" w:styleId="Geenafstand">
    <w:name w:val="No Spacing"/>
    <w:uiPriority w:val="1"/>
    <w:qFormat/>
    <w:rsid w:val="00C17553"/>
    <w:pPr>
      <w:spacing w:after="0" w:line="240" w:lineRule="auto"/>
    </w:pPr>
    <w:rPr>
      <w:rFonts w:ascii="Arial" w:hAnsi="Arial"/>
      <w:sz w:val="20"/>
    </w:rPr>
  </w:style>
  <w:style w:type="character" w:customStyle="1" w:styleId="Kop3Char">
    <w:name w:val="Kop 3 Char"/>
    <w:aliases w:val="Sub-paragraaf Char"/>
    <w:basedOn w:val="Standaardalinea-lettertype"/>
    <w:link w:val="Kop3"/>
    <w:uiPriority w:val="9"/>
    <w:rsid w:val="003E1DD6"/>
    <w:rPr>
      <w:rFonts w:ascii="Arial" w:eastAsiaTheme="majorEastAsia" w:hAnsi="Arial" w:cstheme="majorBidi"/>
      <w:b/>
      <w:color w:val="1F4D78" w:themeColor="accent1" w:themeShade="7F"/>
      <w:sz w:val="20"/>
      <w:szCs w:val="24"/>
    </w:rPr>
  </w:style>
  <w:style w:type="paragraph" w:styleId="Titel">
    <w:name w:val="Title"/>
    <w:basedOn w:val="Standaard"/>
    <w:next w:val="Standaard"/>
    <w:link w:val="TitelChar"/>
    <w:uiPriority w:val="10"/>
    <w:rsid w:val="00C1755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1755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C17553"/>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C17553"/>
    <w:rPr>
      <w:rFonts w:eastAsiaTheme="minorEastAsia"/>
      <w:color w:val="5A5A5A" w:themeColor="text1" w:themeTint="A5"/>
      <w:spacing w:val="15"/>
    </w:rPr>
  </w:style>
  <w:style w:type="character" w:styleId="Subtielebenadrukking">
    <w:name w:val="Subtle Emphasis"/>
    <w:basedOn w:val="Standaardalinea-lettertype"/>
    <w:uiPriority w:val="19"/>
    <w:rsid w:val="00C17553"/>
    <w:rPr>
      <w:i/>
      <w:iCs/>
      <w:color w:val="404040" w:themeColor="text1" w:themeTint="BF"/>
    </w:rPr>
  </w:style>
  <w:style w:type="character" w:styleId="Nadruk">
    <w:name w:val="Emphasis"/>
    <w:basedOn w:val="Standaardalinea-lettertype"/>
    <w:uiPriority w:val="20"/>
    <w:rsid w:val="00C17553"/>
    <w:rPr>
      <w:i/>
      <w:iCs/>
    </w:rPr>
  </w:style>
  <w:style w:type="character" w:styleId="Intensievebenadrukking">
    <w:name w:val="Intense Emphasis"/>
    <w:basedOn w:val="Standaardalinea-lettertype"/>
    <w:uiPriority w:val="21"/>
    <w:rsid w:val="00C17553"/>
    <w:rPr>
      <w:i/>
      <w:iCs/>
      <w:color w:val="5B9BD5" w:themeColor="accent1"/>
    </w:rPr>
  </w:style>
  <w:style w:type="character" w:styleId="Zwaar">
    <w:name w:val="Strong"/>
    <w:basedOn w:val="Standaardalinea-lettertype"/>
    <w:uiPriority w:val="22"/>
    <w:rsid w:val="00C17553"/>
    <w:rPr>
      <w:b/>
      <w:bCs/>
    </w:rPr>
  </w:style>
  <w:style w:type="paragraph" w:styleId="Citaat">
    <w:name w:val="Quote"/>
    <w:basedOn w:val="Standaard"/>
    <w:next w:val="Standaard"/>
    <w:link w:val="CitaatChar"/>
    <w:uiPriority w:val="29"/>
    <w:rsid w:val="00C1755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17553"/>
    <w:rPr>
      <w:rFonts w:ascii="Arial" w:hAnsi="Arial"/>
      <w:i/>
      <w:iCs/>
      <w:color w:val="404040" w:themeColor="text1" w:themeTint="BF"/>
      <w:sz w:val="20"/>
    </w:rPr>
  </w:style>
  <w:style w:type="paragraph" w:styleId="Duidelijkcitaat">
    <w:name w:val="Intense Quote"/>
    <w:basedOn w:val="Standaard"/>
    <w:next w:val="Standaard"/>
    <w:link w:val="DuidelijkcitaatChar"/>
    <w:uiPriority w:val="30"/>
    <w:rsid w:val="00C175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C17553"/>
    <w:rPr>
      <w:rFonts w:ascii="Arial" w:hAnsi="Arial"/>
      <w:i/>
      <w:iCs/>
      <w:color w:val="5B9BD5" w:themeColor="accent1"/>
      <w:sz w:val="20"/>
    </w:rPr>
  </w:style>
  <w:style w:type="character" w:styleId="Subtieleverwijzing">
    <w:name w:val="Subtle Reference"/>
    <w:basedOn w:val="Standaardalinea-lettertype"/>
    <w:uiPriority w:val="31"/>
    <w:rsid w:val="00C17553"/>
    <w:rPr>
      <w:smallCaps/>
      <w:color w:val="5A5A5A" w:themeColor="text1" w:themeTint="A5"/>
    </w:rPr>
  </w:style>
  <w:style w:type="character" w:styleId="Intensieveverwijzing">
    <w:name w:val="Intense Reference"/>
    <w:basedOn w:val="Standaardalinea-lettertype"/>
    <w:uiPriority w:val="32"/>
    <w:rsid w:val="00C17553"/>
    <w:rPr>
      <w:b/>
      <w:bCs/>
      <w:smallCaps/>
      <w:color w:val="5B9BD5" w:themeColor="accent1"/>
      <w:spacing w:val="5"/>
    </w:rPr>
  </w:style>
  <w:style w:type="character" w:styleId="Titelvanboek">
    <w:name w:val="Book Title"/>
    <w:basedOn w:val="Standaardalinea-lettertype"/>
    <w:uiPriority w:val="33"/>
    <w:rsid w:val="00C17553"/>
    <w:rPr>
      <w:b/>
      <w:bCs/>
      <w:i/>
      <w:iCs/>
      <w:spacing w:val="5"/>
    </w:rPr>
  </w:style>
  <w:style w:type="paragraph" w:styleId="Lijstalinea">
    <w:name w:val="List Paragraph"/>
    <w:basedOn w:val="Standaard"/>
    <w:uiPriority w:val="34"/>
    <w:qFormat/>
    <w:rsid w:val="00C17553"/>
    <w:pPr>
      <w:ind w:left="720"/>
      <w:contextualSpacing/>
    </w:pPr>
  </w:style>
  <w:style w:type="paragraph" w:customStyle="1" w:styleId="Kop3tabelwit">
    <w:name w:val="Kop 3 tabel wit"/>
    <w:basedOn w:val="Standaard"/>
    <w:next w:val="Standaard"/>
    <w:link w:val="Kop3tabelwitChar"/>
    <w:rsid w:val="00FE2584"/>
    <w:rPr>
      <w:b/>
      <w:color w:val="FFFFFF" w:themeColor="background1"/>
    </w:rPr>
  </w:style>
  <w:style w:type="character" w:customStyle="1" w:styleId="Kop4Char">
    <w:name w:val="Kop 4 Char"/>
    <w:aliases w:val="Kop 3: Char"/>
    <w:basedOn w:val="Standaardalinea-lettertype"/>
    <w:link w:val="Kop4"/>
    <w:uiPriority w:val="9"/>
    <w:rsid w:val="003E1DD6"/>
    <w:rPr>
      <w:rFonts w:ascii="Arial" w:eastAsiaTheme="majorEastAsia" w:hAnsi="Arial" w:cstheme="majorBidi"/>
      <w:b/>
      <w:iCs/>
      <w:color w:val="005B82"/>
      <w:sz w:val="20"/>
      <w:szCs w:val="24"/>
    </w:rPr>
  </w:style>
  <w:style w:type="character" w:customStyle="1" w:styleId="Kop3tabelwitChar">
    <w:name w:val="Kop 3 tabel wit Char"/>
    <w:basedOn w:val="Standaardalinea-lettertype"/>
    <w:link w:val="Kop3tabelwit"/>
    <w:rsid w:val="00FE2584"/>
    <w:rPr>
      <w:rFonts w:ascii="Arial" w:hAnsi="Arial"/>
      <w:b/>
      <w:color w:val="FFFFFF" w:themeColor="background1"/>
      <w:sz w:val="20"/>
    </w:rPr>
  </w:style>
  <w:style w:type="character" w:customStyle="1" w:styleId="Kop5Char">
    <w:name w:val="Kop 5 Char"/>
    <w:aliases w:val="Tabel wit tekst Char"/>
    <w:basedOn w:val="Standaardalinea-lettertype"/>
    <w:link w:val="Kop5"/>
    <w:uiPriority w:val="9"/>
    <w:rsid w:val="004B5A0A"/>
    <w:rPr>
      <w:rFonts w:ascii="Arial" w:eastAsiaTheme="majorEastAsia" w:hAnsi="Arial" w:cstheme="majorBidi"/>
      <w:b/>
      <w:color w:val="FFFFFF" w:themeColor="background1"/>
      <w:sz w:val="20"/>
    </w:rPr>
  </w:style>
  <w:style w:type="paragraph" w:styleId="Ballontekst">
    <w:name w:val="Balloon Text"/>
    <w:basedOn w:val="Standaard"/>
    <w:link w:val="BallontekstChar"/>
    <w:uiPriority w:val="99"/>
    <w:semiHidden/>
    <w:unhideWhenUsed/>
    <w:rsid w:val="00B53E7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E72"/>
    <w:rPr>
      <w:rFonts w:ascii="Segoe UI" w:hAnsi="Segoe UI" w:cs="Segoe UI"/>
      <w:sz w:val="18"/>
      <w:szCs w:val="18"/>
    </w:rPr>
  </w:style>
  <w:style w:type="character" w:customStyle="1" w:styleId="Kop6Char">
    <w:name w:val="Kop 6 Char"/>
    <w:basedOn w:val="Standaardalinea-lettertype"/>
    <w:link w:val="Kop6"/>
    <w:uiPriority w:val="9"/>
    <w:rsid w:val="000C620B"/>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0C620B"/>
    <w:rPr>
      <w:rFonts w:asciiTheme="majorHAnsi" w:eastAsiaTheme="majorEastAsia" w:hAnsiTheme="majorHAnsi" w:cstheme="majorBidi"/>
      <w:i/>
      <w:iCs/>
      <w:color w:val="1F4D78" w:themeColor="accent1" w:themeShade="7F"/>
      <w:sz w:val="20"/>
    </w:rPr>
  </w:style>
  <w:style w:type="paragraph" w:styleId="Kopvaninhoudsopgave">
    <w:name w:val="TOC Heading"/>
    <w:basedOn w:val="Kop1"/>
    <w:next w:val="Standaard"/>
    <w:uiPriority w:val="39"/>
    <w:unhideWhenUsed/>
    <w:qFormat/>
    <w:rsid w:val="00A74FFC"/>
    <w:pPr>
      <w:spacing w:before="480" w:line="276" w:lineRule="auto"/>
      <w:outlineLvl w:val="9"/>
    </w:pPr>
    <w:rPr>
      <w:bCs/>
      <w:szCs w:val="28"/>
      <w:lang w:eastAsia="nl-NL"/>
    </w:rPr>
  </w:style>
  <w:style w:type="paragraph" w:styleId="Inhopg1">
    <w:name w:val="toc 1"/>
    <w:basedOn w:val="Standaard"/>
    <w:next w:val="Standaard"/>
    <w:autoRedefine/>
    <w:uiPriority w:val="39"/>
    <w:unhideWhenUsed/>
    <w:rsid w:val="000600CB"/>
    <w:pPr>
      <w:spacing w:before="240" w:after="120" w:line="240" w:lineRule="auto"/>
    </w:pPr>
    <w:rPr>
      <w:b/>
      <w:color w:val="005B82"/>
      <w:sz w:val="24"/>
    </w:rPr>
  </w:style>
  <w:style w:type="paragraph" w:styleId="Inhopg2">
    <w:name w:val="toc 2"/>
    <w:basedOn w:val="Standaard"/>
    <w:next w:val="Standaard"/>
    <w:autoRedefine/>
    <w:uiPriority w:val="39"/>
    <w:unhideWhenUsed/>
    <w:rsid w:val="000600CB"/>
    <w:pPr>
      <w:spacing w:after="100"/>
      <w:ind w:left="198"/>
    </w:pPr>
    <w:rPr>
      <w:b/>
      <w:color w:val="005B82"/>
    </w:rPr>
  </w:style>
  <w:style w:type="character" w:styleId="Hyperlink">
    <w:name w:val="Hyperlink"/>
    <w:basedOn w:val="Standaardalinea-lettertype"/>
    <w:uiPriority w:val="99"/>
    <w:unhideWhenUsed/>
    <w:rsid w:val="009E6C87"/>
    <w:rPr>
      <w:color w:val="0563C1" w:themeColor="hyperlink"/>
      <w:u w:val="single"/>
    </w:rPr>
  </w:style>
  <w:style w:type="paragraph" w:styleId="Inhopg3">
    <w:name w:val="toc 3"/>
    <w:basedOn w:val="Standaard"/>
    <w:next w:val="Standaard"/>
    <w:autoRedefine/>
    <w:uiPriority w:val="39"/>
    <w:unhideWhenUsed/>
    <w:rsid w:val="003E1DD6"/>
    <w:pPr>
      <w:spacing w:after="100" w:line="259" w:lineRule="auto"/>
      <w:ind w:left="440"/>
    </w:pPr>
    <w:rPr>
      <w:rFonts w:eastAsiaTheme="minorEastAsia" w:cs="Times New Roman"/>
      <w:lang w:eastAsia="nl-NL"/>
    </w:rPr>
  </w:style>
  <w:style w:type="paragraph" w:customStyle="1" w:styleId="Standaardtussenkopbold">
    <w:name w:val="Standaard tussenkop bold"/>
    <w:basedOn w:val="Standaard"/>
    <w:next w:val="Standaard"/>
    <w:link w:val="StandaardtussenkopboldChar"/>
    <w:qFormat/>
    <w:rsid w:val="000A73F8"/>
    <w:rPr>
      <w:b/>
    </w:rPr>
  </w:style>
  <w:style w:type="table" w:styleId="Tabelraster">
    <w:name w:val="Table Grid"/>
    <w:basedOn w:val="Standaardtabel"/>
    <w:uiPriority w:val="39"/>
    <w:rsid w:val="004B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tussenkopboldChar">
    <w:name w:val="Standaard tussenkop bold Char"/>
    <w:basedOn w:val="Standaardalinea-lettertype"/>
    <w:link w:val="Standaardtussenkopbold"/>
    <w:rsid w:val="000A73F8"/>
    <w:rPr>
      <w:rFonts w:ascii="Arial" w:hAnsi="Arial"/>
      <w:b/>
      <w:sz w:val="20"/>
    </w:rPr>
  </w:style>
  <w:style w:type="paragraph" w:customStyle="1" w:styleId="Tabelblauwtekst">
    <w:name w:val="Tabel blauw tekst"/>
    <w:basedOn w:val="Standaard"/>
    <w:next w:val="Standaard"/>
    <w:link w:val="TabelblauwtekstChar"/>
    <w:qFormat/>
    <w:rsid w:val="004B5A0A"/>
    <w:rPr>
      <w:b/>
      <w:color w:val="005B82"/>
    </w:rPr>
  </w:style>
  <w:style w:type="paragraph" w:styleId="Inhopg4">
    <w:name w:val="toc 4"/>
    <w:basedOn w:val="Standaard"/>
    <w:next w:val="Standaard"/>
    <w:autoRedefine/>
    <w:uiPriority w:val="39"/>
    <w:unhideWhenUsed/>
    <w:rsid w:val="000600CB"/>
    <w:pPr>
      <w:spacing w:after="100"/>
      <w:ind w:left="600"/>
    </w:pPr>
  </w:style>
  <w:style w:type="character" w:customStyle="1" w:styleId="TabelblauwtekstChar">
    <w:name w:val="Tabel blauw tekst Char"/>
    <w:basedOn w:val="Kop5Char"/>
    <w:link w:val="Tabelblauwtekst"/>
    <w:rsid w:val="004B5A0A"/>
    <w:rPr>
      <w:rFonts w:ascii="Arial" w:eastAsiaTheme="majorEastAsia" w:hAnsi="Arial" w:cstheme="majorBidi"/>
      <w:b/>
      <w:color w:val="005B82"/>
      <w:sz w:val="20"/>
    </w:rPr>
  </w:style>
  <w:style w:type="paragraph" w:customStyle="1" w:styleId="StandaardTussenkopitalic">
    <w:name w:val="Standaard Tussenkop italic"/>
    <w:basedOn w:val="Standaardtussenkopbold"/>
    <w:link w:val="StandaardTussenkopitalicChar"/>
    <w:qFormat/>
    <w:rsid w:val="003E203F"/>
    <w:rPr>
      <w:b w:val="0"/>
      <w:i/>
    </w:rPr>
  </w:style>
  <w:style w:type="character" w:customStyle="1" w:styleId="StandaardTussenkopitalicChar">
    <w:name w:val="Standaard Tussenkop italic Char"/>
    <w:basedOn w:val="StandaardtussenkopboldChar"/>
    <w:link w:val="StandaardTussenkopitalic"/>
    <w:rsid w:val="003E203F"/>
    <w:rPr>
      <w:rFonts w:ascii="Arial" w:hAnsi="Arial"/>
      <w:b w:val="0"/>
      <w:i/>
      <w:sz w:val="20"/>
    </w:rPr>
  </w:style>
  <w:style w:type="character" w:customStyle="1" w:styleId="Kop8Char">
    <w:name w:val="Kop 8 Char"/>
    <w:basedOn w:val="Standaardalinea-lettertype"/>
    <w:link w:val="Kop8"/>
    <w:rsid w:val="002038D4"/>
    <w:rPr>
      <w:rFonts w:ascii="Arial" w:eastAsia="Times New Roman" w:hAnsi="Arial" w:cs="Times New Roman"/>
      <w:i/>
      <w:sz w:val="18"/>
      <w:szCs w:val="20"/>
      <w:lang w:val="nl"/>
    </w:rPr>
  </w:style>
  <w:style w:type="character" w:customStyle="1" w:styleId="Kop9Char">
    <w:name w:val="Kop 9 Char"/>
    <w:aliases w:val="Bijlage Char"/>
    <w:basedOn w:val="Standaardalinea-lettertype"/>
    <w:link w:val="Kop9"/>
    <w:rsid w:val="002038D4"/>
    <w:rPr>
      <w:rFonts w:ascii="Verdana" w:eastAsia="Times New Roman" w:hAnsi="Verdana" w:cs="Times New Roman"/>
      <w:b/>
      <w:caps/>
      <w:sz w:val="18"/>
      <w:szCs w:val="20"/>
      <w:lang w:val="nl"/>
    </w:rPr>
  </w:style>
  <w:style w:type="character" w:styleId="Verwijzingopmerking">
    <w:name w:val="annotation reference"/>
    <w:basedOn w:val="Standaardalinea-lettertype"/>
    <w:uiPriority w:val="99"/>
    <w:semiHidden/>
    <w:unhideWhenUsed/>
    <w:rsid w:val="00C151B6"/>
    <w:rPr>
      <w:sz w:val="16"/>
      <w:szCs w:val="16"/>
    </w:rPr>
  </w:style>
  <w:style w:type="paragraph" w:styleId="Tekstopmerking">
    <w:name w:val="annotation text"/>
    <w:basedOn w:val="Standaard"/>
    <w:link w:val="TekstopmerkingChar"/>
    <w:uiPriority w:val="99"/>
    <w:unhideWhenUsed/>
    <w:rsid w:val="00C151B6"/>
    <w:pPr>
      <w:spacing w:line="240" w:lineRule="auto"/>
    </w:pPr>
    <w:rPr>
      <w:szCs w:val="20"/>
    </w:rPr>
  </w:style>
  <w:style w:type="character" w:customStyle="1" w:styleId="TekstopmerkingChar">
    <w:name w:val="Tekst opmerking Char"/>
    <w:basedOn w:val="Standaardalinea-lettertype"/>
    <w:link w:val="Tekstopmerking"/>
    <w:uiPriority w:val="99"/>
    <w:rsid w:val="00C151B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151B6"/>
    <w:rPr>
      <w:b/>
      <w:bCs/>
    </w:rPr>
  </w:style>
  <w:style w:type="character" w:customStyle="1" w:styleId="OnderwerpvanopmerkingChar">
    <w:name w:val="Onderwerp van opmerking Char"/>
    <w:basedOn w:val="TekstopmerkingChar"/>
    <w:link w:val="Onderwerpvanopmerking"/>
    <w:uiPriority w:val="99"/>
    <w:semiHidden/>
    <w:rsid w:val="00C151B6"/>
    <w:rPr>
      <w:rFonts w:ascii="Arial" w:hAnsi="Arial"/>
      <w:b/>
      <w:bCs/>
      <w:sz w:val="20"/>
      <w:szCs w:val="20"/>
    </w:rPr>
  </w:style>
  <w:style w:type="paragraph" w:styleId="Revisie">
    <w:name w:val="Revision"/>
    <w:hidden/>
    <w:uiPriority w:val="99"/>
    <w:semiHidden/>
    <w:rsid w:val="00226F25"/>
    <w:pPr>
      <w:spacing w:after="0" w:line="240" w:lineRule="auto"/>
    </w:pPr>
    <w:rPr>
      <w:rFonts w:ascii="Arial" w:hAnsi="Arial"/>
      <w:sz w:val="20"/>
    </w:rPr>
  </w:style>
  <w:style w:type="paragraph" w:customStyle="1" w:styleId="footnotedescription">
    <w:name w:val="footnote description"/>
    <w:next w:val="Standaard"/>
    <w:link w:val="footnotedescriptionChar"/>
    <w:hidden/>
    <w:rsid w:val="00674AFD"/>
    <w:pPr>
      <w:spacing w:after="0" w:line="258" w:lineRule="auto"/>
      <w:ind w:left="142"/>
    </w:pPr>
    <w:rPr>
      <w:rFonts w:ascii="Calibri" w:eastAsia="Calibri" w:hAnsi="Calibri" w:cs="Calibri"/>
      <w:color w:val="000000"/>
      <w:sz w:val="18"/>
      <w:lang w:eastAsia="nl-NL"/>
    </w:rPr>
  </w:style>
  <w:style w:type="character" w:customStyle="1" w:styleId="footnotedescriptionChar">
    <w:name w:val="footnote description Char"/>
    <w:link w:val="footnotedescription"/>
    <w:rsid w:val="00674AFD"/>
    <w:rPr>
      <w:rFonts w:ascii="Calibri" w:eastAsia="Calibri" w:hAnsi="Calibri" w:cs="Calibri"/>
      <w:color w:val="000000"/>
      <w:sz w:val="18"/>
      <w:lang w:eastAsia="nl-NL"/>
    </w:rPr>
  </w:style>
  <w:style w:type="character" w:customStyle="1" w:styleId="footnotemark">
    <w:name w:val="footnote mark"/>
    <w:hidden/>
    <w:rsid w:val="00674AFD"/>
    <w:rPr>
      <w:rFonts w:ascii="Calibri" w:eastAsia="Calibri" w:hAnsi="Calibri" w:cs="Calibri"/>
      <w:color w:val="000000"/>
      <w:sz w:val="18"/>
      <w:vertAlign w:val="superscript"/>
    </w:rPr>
  </w:style>
  <w:style w:type="table" w:customStyle="1" w:styleId="TableGrid">
    <w:name w:val="TableGrid"/>
    <w:rsid w:val="00674AFD"/>
    <w:pPr>
      <w:spacing w:after="0" w:line="240" w:lineRule="auto"/>
    </w:pPr>
    <w:rPr>
      <w:rFonts w:eastAsiaTheme="minorEastAsia"/>
      <w:lang w:eastAsia="nl-NL"/>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674AFD"/>
    <w:pPr>
      <w:spacing w:line="240" w:lineRule="auto"/>
    </w:pPr>
    <w:rPr>
      <w:rFonts w:ascii="Helvetica Neue" w:eastAsia="Helvetica Neue" w:hAnsi="Helvetica Neue" w:cs="Helvetica Neue"/>
      <w:color w:val="000000"/>
      <w:szCs w:val="20"/>
      <w:lang w:eastAsia="nl-NL"/>
    </w:rPr>
  </w:style>
  <w:style w:type="character" w:customStyle="1" w:styleId="VoetnoottekstChar">
    <w:name w:val="Voetnoottekst Char"/>
    <w:basedOn w:val="Standaardalinea-lettertype"/>
    <w:link w:val="Voetnoottekst"/>
    <w:uiPriority w:val="99"/>
    <w:semiHidden/>
    <w:rsid w:val="00674AFD"/>
    <w:rPr>
      <w:rFonts w:ascii="Helvetica Neue" w:eastAsia="Helvetica Neue" w:hAnsi="Helvetica Neue" w:cs="Helvetica Neue"/>
      <w:color w:val="000000"/>
      <w:sz w:val="20"/>
      <w:szCs w:val="20"/>
      <w:lang w:eastAsia="nl-NL"/>
    </w:rPr>
  </w:style>
  <w:style w:type="character" w:styleId="Voetnootmarkering">
    <w:name w:val="footnote reference"/>
    <w:basedOn w:val="Standaardalinea-lettertype"/>
    <w:uiPriority w:val="99"/>
    <w:semiHidden/>
    <w:unhideWhenUsed/>
    <w:rsid w:val="00674AFD"/>
    <w:rPr>
      <w:vertAlign w:val="superscript"/>
    </w:rPr>
  </w:style>
  <w:style w:type="paragraph" w:customStyle="1" w:styleId="Paragraaftekst">
    <w:name w:val="Paragraaftekst"/>
    <w:basedOn w:val="Standaard"/>
    <w:qFormat/>
    <w:rsid w:val="004B6CF5"/>
    <w:pPr>
      <w:spacing w:line="276" w:lineRule="auto"/>
      <w:ind w:left="567"/>
      <w:outlineLvl w:val="1"/>
    </w:pPr>
    <w:rPr>
      <w:rFonts w:ascii="Verdana" w:eastAsia="Times New Roman" w:hAnsi="Verdana" w:cs="Times New Roman"/>
      <w:sz w:val="18"/>
      <w:szCs w:val="24"/>
      <w:lang w:eastAsia="nl-NL"/>
    </w:rPr>
  </w:style>
  <w:style w:type="paragraph" w:customStyle="1" w:styleId="Paragraaf">
    <w:name w:val="Paragraaf"/>
    <w:basedOn w:val="Standaard"/>
    <w:next w:val="Paragraaftekst"/>
    <w:qFormat/>
    <w:rsid w:val="004B6CF5"/>
    <w:pPr>
      <w:tabs>
        <w:tab w:val="num" w:pos="567"/>
      </w:tabs>
      <w:spacing w:line="276" w:lineRule="auto"/>
      <w:ind w:left="567" w:hanging="567"/>
      <w:outlineLvl w:val="1"/>
    </w:pPr>
    <w:rPr>
      <w:rFonts w:ascii="Verdana" w:eastAsia="Times New Roman" w:hAnsi="Verdana" w:cs="Times New Roman"/>
      <w:b/>
      <w:sz w:val="18"/>
      <w:szCs w:val="24"/>
      <w:lang w:eastAsia="nl-NL"/>
    </w:rPr>
  </w:style>
  <w:style w:type="paragraph" w:customStyle="1" w:styleId="Subparagraaf">
    <w:name w:val="Subparagraaf"/>
    <w:basedOn w:val="Standaard"/>
    <w:next w:val="Paragraaftekst"/>
    <w:qFormat/>
    <w:rsid w:val="004B6CF5"/>
    <w:pPr>
      <w:tabs>
        <w:tab w:val="num" w:pos="567"/>
      </w:tabs>
      <w:spacing w:line="276" w:lineRule="auto"/>
      <w:ind w:left="567" w:hanging="567"/>
      <w:outlineLvl w:val="2"/>
    </w:pPr>
    <w:rPr>
      <w:rFonts w:ascii="Verdana" w:eastAsia="Times New Roman" w:hAnsi="Verdana" w:cs="Times New Roman"/>
      <w:b/>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710">
      <w:bodyDiv w:val="1"/>
      <w:marLeft w:val="0"/>
      <w:marRight w:val="0"/>
      <w:marTop w:val="0"/>
      <w:marBottom w:val="0"/>
      <w:divBdr>
        <w:top w:val="none" w:sz="0" w:space="0" w:color="auto"/>
        <w:left w:val="none" w:sz="0" w:space="0" w:color="auto"/>
        <w:bottom w:val="none" w:sz="0" w:space="0" w:color="auto"/>
        <w:right w:val="none" w:sz="0" w:space="0" w:color="auto"/>
      </w:divBdr>
    </w:div>
    <w:div w:id="436294673">
      <w:bodyDiv w:val="1"/>
      <w:marLeft w:val="0"/>
      <w:marRight w:val="0"/>
      <w:marTop w:val="0"/>
      <w:marBottom w:val="0"/>
      <w:divBdr>
        <w:top w:val="none" w:sz="0" w:space="0" w:color="auto"/>
        <w:left w:val="none" w:sz="0" w:space="0" w:color="auto"/>
        <w:bottom w:val="none" w:sz="0" w:space="0" w:color="auto"/>
        <w:right w:val="none" w:sz="0" w:space="0" w:color="auto"/>
      </w:divBdr>
    </w:div>
    <w:div w:id="704598779">
      <w:bodyDiv w:val="1"/>
      <w:marLeft w:val="0"/>
      <w:marRight w:val="0"/>
      <w:marTop w:val="0"/>
      <w:marBottom w:val="0"/>
      <w:divBdr>
        <w:top w:val="none" w:sz="0" w:space="0" w:color="auto"/>
        <w:left w:val="none" w:sz="0" w:space="0" w:color="auto"/>
        <w:bottom w:val="none" w:sz="0" w:space="0" w:color="auto"/>
        <w:right w:val="none" w:sz="0" w:space="0" w:color="auto"/>
      </w:divBdr>
    </w:div>
    <w:div w:id="791362595">
      <w:bodyDiv w:val="1"/>
      <w:marLeft w:val="0"/>
      <w:marRight w:val="0"/>
      <w:marTop w:val="0"/>
      <w:marBottom w:val="0"/>
      <w:divBdr>
        <w:top w:val="none" w:sz="0" w:space="0" w:color="auto"/>
        <w:left w:val="none" w:sz="0" w:space="0" w:color="auto"/>
        <w:bottom w:val="none" w:sz="0" w:space="0" w:color="auto"/>
        <w:right w:val="none" w:sz="0" w:space="0" w:color="auto"/>
      </w:divBdr>
    </w:div>
    <w:div w:id="866602432">
      <w:bodyDiv w:val="1"/>
      <w:marLeft w:val="0"/>
      <w:marRight w:val="0"/>
      <w:marTop w:val="0"/>
      <w:marBottom w:val="0"/>
      <w:divBdr>
        <w:top w:val="none" w:sz="0" w:space="0" w:color="auto"/>
        <w:left w:val="none" w:sz="0" w:space="0" w:color="auto"/>
        <w:bottom w:val="none" w:sz="0" w:space="0" w:color="auto"/>
        <w:right w:val="none" w:sz="0" w:space="0" w:color="auto"/>
      </w:divBdr>
    </w:div>
    <w:div w:id="895705115">
      <w:bodyDiv w:val="1"/>
      <w:marLeft w:val="0"/>
      <w:marRight w:val="0"/>
      <w:marTop w:val="0"/>
      <w:marBottom w:val="0"/>
      <w:divBdr>
        <w:top w:val="none" w:sz="0" w:space="0" w:color="auto"/>
        <w:left w:val="none" w:sz="0" w:space="0" w:color="auto"/>
        <w:bottom w:val="none" w:sz="0" w:space="0" w:color="auto"/>
        <w:right w:val="none" w:sz="0" w:space="0" w:color="auto"/>
      </w:divBdr>
    </w:div>
    <w:div w:id="925455227">
      <w:bodyDiv w:val="1"/>
      <w:marLeft w:val="0"/>
      <w:marRight w:val="0"/>
      <w:marTop w:val="0"/>
      <w:marBottom w:val="0"/>
      <w:divBdr>
        <w:top w:val="none" w:sz="0" w:space="0" w:color="auto"/>
        <w:left w:val="none" w:sz="0" w:space="0" w:color="auto"/>
        <w:bottom w:val="none" w:sz="0" w:space="0" w:color="auto"/>
        <w:right w:val="none" w:sz="0" w:space="0" w:color="auto"/>
      </w:divBdr>
    </w:div>
    <w:div w:id="1129665899">
      <w:bodyDiv w:val="1"/>
      <w:marLeft w:val="0"/>
      <w:marRight w:val="0"/>
      <w:marTop w:val="0"/>
      <w:marBottom w:val="0"/>
      <w:divBdr>
        <w:top w:val="none" w:sz="0" w:space="0" w:color="auto"/>
        <w:left w:val="none" w:sz="0" w:space="0" w:color="auto"/>
        <w:bottom w:val="none" w:sz="0" w:space="0" w:color="auto"/>
        <w:right w:val="none" w:sz="0" w:space="0" w:color="auto"/>
      </w:divBdr>
    </w:div>
    <w:div w:id="1140537853">
      <w:bodyDiv w:val="1"/>
      <w:marLeft w:val="0"/>
      <w:marRight w:val="0"/>
      <w:marTop w:val="0"/>
      <w:marBottom w:val="0"/>
      <w:divBdr>
        <w:top w:val="none" w:sz="0" w:space="0" w:color="auto"/>
        <w:left w:val="none" w:sz="0" w:space="0" w:color="auto"/>
        <w:bottom w:val="none" w:sz="0" w:space="0" w:color="auto"/>
        <w:right w:val="none" w:sz="0" w:space="0" w:color="auto"/>
      </w:divBdr>
    </w:div>
    <w:div w:id="1193616056">
      <w:bodyDiv w:val="1"/>
      <w:marLeft w:val="0"/>
      <w:marRight w:val="0"/>
      <w:marTop w:val="0"/>
      <w:marBottom w:val="0"/>
      <w:divBdr>
        <w:top w:val="none" w:sz="0" w:space="0" w:color="auto"/>
        <w:left w:val="none" w:sz="0" w:space="0" w:color="auto"/>
        <w:bottom w:val="none" w:sz="0" w:space="0" w:color="auto"/>
        <w:right w:val="none" w:sz="0" w:space="0" w:color="auto"/>
      </w:divBdr>
    </w:div>
    <w:div w:id="1336684209">
      <w:bodyDiv w:val="1"/>
      <w:marLeft w:val="0"/>
      <w:marRight w:val="0"/>
      <w:marTop w:val="0"/>
      <w:marBottom w:val="0"/>
      <w:divBdr>
        <w:top w:val="none" w:sz="0" w:space="0" w:color="auto"/>
        <w:left w:val="none" w:sz="0" w:space="0" w:color="auto"/>
        <w:bottom w:val="none" w:sz="0" w:space="0" w:color="auto"/>
        <w:right w:val="none" w:sz="0" w:space="0" w:color="auto"/>
      </w:divBdr>
    </w:div>
    <w:div w:id="1568030720">
      <w:bodyDiv w:val="1"/>
      <w:marLeft w:val="0"/>
      <w:marRight w:val="0"/>
      <w:marTop w:val="0"/>
      <w:marBottom w:val="0"/>
      <w:divBdr>
        <w:top w:val="none" w:sz="0" w:space="0" w:color="auto"/>
        <w:left w:val="none" w:sz="0" w:space="0" w:color="auto"/>
        <w:bottom w:val="none" w:sz="0" w:space="0" w:color="auto"/>
        <w:right w:val="none" w:sz="0" w:space="0" w:color="auto"/>
      </w:divBdr>
    </w:div>
    <w:div w:id="19713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00c8bc-1bee-4259-8fbb-d6907a0a331a">
      <Value>31</Value>
    </TaxCatchAll>
    <Hyperlink xmlns="ea00c8bc-1bee-4259-8fbb-d6907a0a331a">
      <Url xsi:nil="true"/>
      <Description xsi:nil="true"/>
    </Hyperlink>
    <fa2119ce6774421cab450cdc125a2afd xmlns="ea00c8bc-1bee-4259-8fbb-d6907a0a331a">
      <Terms xmlns="http://schemas.microsoft.com/office/infopath/2007/PartnerControls"/>
    </fa2119ce6774421cab450cdc125a2afd>
    <baa27a94f046447da519cef1602bec26 xmlns="ea00c8bc-1bee-4259-8fbb-d6907a0a331a">
      <Terms xmlns="http://schemas.microsoft.com/office/infopath/2007/PartnerControls"/>
    </baa27a94f046447da519cef1602bec26>
    <mbf6175a8f284cc2a0bb77c13035bdfb xmlns="ea00c8bc-1bee-4259-8fbb-d6907a0a331a">
      <Terms xmlns="http://schemas.microsoft.com/office/infopath/2007/PartnerControls"/>
    </mbf6175a8f284cc2a0bb77c13035bdfb>
    <PublishingExpirationDate xmlns="http://schemas.microsoft.com/sharepoint/v3" xsi:nil="true"/>
    <a0fb2c186091448a996de43a53d96c4d xmlns="ea00c8bc-1bee-4259-8fbb-d6907a0a331a">
      <Terms xmlns="http://schemas.microsoft.com/office/infopath/2007/PartnerControls">
        <TermInfo xmlns="http://schemas.microsoft.com/office/infopath/2007/PartnerControls">
          <TermName xmlns="http://schemas.microsoft.com/office/infopath/2007/PartnerControls">Landstede Groep</TermName>
          <TermId xmlns="http://schemas.microsoft.com/office/infopath/2007/PartnerControls">6e3d8c17-a80a-4cec-b1d7-b01b4a044303</TermId>
        </TermInfo>
      </Terms>
    </a0fb2c186091448a996de43a53d96c4d>
    <PublishingStartDate xmlns="http://schemas.microsoft.com/sharepoint/v3" xsi:nil="true"/>
    <SharedWithUsers xmlns="ea00c8bc-1bee-4259-8fbb-d6907a0a331a">
      <UserInfo>
        <DisplayName>Evelien Kremer-Giethoorn</DisplayName>
        <AccountId>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B8BA6A98C5F940BB1AF9598B2F7E54" ma:contentTypeVersion="12" ma:contentTypeDescription="Een nieuw document maken." ma:contentTypeScope="" ma:versionID="d6cf911b41385c8b0df33629a657d2db">
  <xsd:schema xmlns:xsd="http://www.w3.org/2001/XMLSchema" xmlns:xs="http://www.w3.org/2001/XMLSchema" xmlns:p="http://schemas.microsoft.com/office/2006/metadata/properties" xmlns:ns1="http://schemas.microsoft.com/sharepoint/v3" xmlns:ns2="ea00c8bc-1bee-4259-8fbb-d6907a0a331a" targetNamespace="http://schemas.microsoft.com/office/2006/metadata/properties" ma:root="true" ma:fieldsID="16e37ddb292353bcec94d9ec860a47de" ns1:_="" ns2:_="">
    <xsd:import namespace="http://schemas.microsoft.com/sharepoint/v3"/>
    <xsd:import namespace="ea00c8bc-1bee-4259-8fbb-d6907a0a331a"/>
    <xsd:element name="properties">
      <xsd:complexType>
        <xsd:sequence>
          <xsd:element name="documentManagement">
            <xsd:complexType>
              <xsd:all>
                <xsd:element ref="ns1:PublishingStartDate" minOccurs="0"/>
                <xsd:element ref="ns1:PublishingExpirationDate" minOccurs="0"/>
                <xsd:element ref="ns2:a0fb2c186091448a996de43a53d96c4d" minOccurs="0"/>
                <xsd:element ref="ns2:TaxCatchAll" minOccurs="0"/>
                <xsd:element ref="ns2:baa27a94f046447da519cef1602bec26" minOccurs="0"/>
                <xsd:element ref="ns2:mbf6175a8f284cc2a0bb77c13035bdfb" minOccurs="0"/>
                <xsd:element ref="ns2:fa2119ce6774421cab450cdc125a2afd" minOccurs="0"/>
                <xsd:element ref="ns2:SharedWithUsers" minOccurs="0"/>
                <xsd:element ref="ns2:SharedWithDetails"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0c8bc-1bee-4259-8fbb-d6907a0a331a" elementFormDefault="qualified">
    <xsd:import namespace="http://schemas.microsoft.com/office/2006/documentManagement/types"/>
    <xsd:import namespace="http://schemas.microsoft.com/office/infopath/2007/PartnerControls"/>
    <xsd:element name="a0fb2c186091448a996de43a53d96c4d" ma:index="11" ma:taxonomy="true" ma:internalName="a0fb2c186091448a996de43a53d96c4d" ma:taxonomyFieldName="LandstedeOrganisatiedeel" ma:displayName="Landstede Organisatiedeel" ma:default="-1;#Landstede Groep|6e3d8c17-a80a-4cec-b1d7-b01b4a044303" ma:fieldId="{a0fb2c18-6091-448a-996d-e43a53d96c4d}" ma:taxonomyMulti="true" ma:sspId="5995525b-ff39-46ba-89d1-adb392de4eb9" ma:termSetId="53df83d4-4053-4891-8aa5-06fce3937a0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240f32a-1d64-4305-a663-9e4d5f8ec9fe}" ma:internalName="TaxCatchAll" ma:showField="CatchAllData" ma:web="ea00c8bc-1bee-4259-8fbb-d6907a0a331a">
      <xsd:complexType>
        <xsd:complexContent>
          <xsd:extension base="dms:MultiChoiceLookup">
            <xsd:sequence>
              <xsd:element name="Value" type="dms:Lookup" maxOccurs="unbounded" minOccurs="0" nillable="true"/>
            </xsd:sequence>
          </xsd:extension>
        </xsd:complexContent>
      </xsd:complexType>
    </xsd:element>
    <xsd:element name="baa27a94f046447da519cef1602bec26" ma:index="14" nillable="true" ma:taxonomy="true" ma:internalName="baa27a94f046447da519cef1602bec26" ma:taxonomyFieldName="LandstedeLocatie" ma:displayName="Landstede Locatie" ma:default="" ma:fieldId="{baa27a94-f046-447d-a519-cef1602bec26}" ma:taxonomyMulti="true" ma:sspId="5995525b-ff39-46ba-89d1-adb392de4eb9" ma:termSetId="07e2df95-12cc-4a20-85c5-964d0055fc83" ma:anchorId="00000000-0000-0000-0000-000000000000" ma:open="false" ma:isKeyword="false">
      <xsd:complexType>
        <xsd:sequence>
          <xsd:element ref="pc:Terms" minOccurs="0" maxOccurs="1"/>
        </xsd:sequence>
      </xsd:complexType>
    </xsd:element>
    <xsd:element name="mbf6175a8f284cc2a0bb77c13035bdfb" ma:index="16" nillable="true" ma:taxonomy="true" ma:internalName="mbf6175a8f284cc2a0bb77c13035bdfb" ma:taxonomyFieldName="LandstedeProces" ma:displayName="Landstede Proces" ma:default="-1;#Communicatie ＆ Marketing|b4625514-764e-48f4-a9a4-ae2b3a457eb2" ma:fieldId="{6bf6175a-8f28-4cc2-a0bb-77c13035bdfb}" ma:taxonomyMulti="true" ma:sspId="5995525b-ff39-46ba-89d1-adb392de4eb9" ma:termSetId="c61828c4-302a-401c-a8e2-c5d8324039ca" ma:anchorId="00000000-0000-0000-0000-000000000000" ma:open="false" ma:isKeyword="false">
      <xsd:complexType>
        <xsd:sequence>
          <xsd:element ref="pc:Terms" minOccurs="0" maxOccurs="1"/>
        </xsd:sequence>
      </xsd:complexType>
    </xsd:element>
    <xsd:element name="fa2119ce6774421cab450cdc125a2afd" ma:index="18" nillable="true" ma:taxonomy="true" ma:internalName="fa2119ce6774421cab450cdc125a2afd" ma:taxonomyFieldName="LandstedeTrefwoorden" ma:displayName="Landstede Trefwoorden" ma:default="" ma:fieldId="{fa2119ce-6774-421c-ab45-0cdc125a2afd}" ma:taxonomyMulti="true" ma:sspId="5995525b-ff39-46ba-89d1-adb392de4eb9" ma:termSetId="8f98a17b-46ad-4779-84c4-1e73ad87c0e2" ma:anchorId="00000000-0000-0000-0000-000000000000" ma:open="true" ma:isKeyword="false">
      <xsd:complexType>
        <xsd:sequence>
          <xsd:element ref="pc:Terms" minOccurs="0" maxOccurs="1"/>
        </xsd:sequence>
      </xsd:complex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13A87-993D-4BE8-8CC0-26811253CCAD}">
  <ds:schemaRefs>
    <ds:schemaRef ds:uri="http://schemas.microsoft.com/sharepoint/v3/contenttype/forms"/>
  </ds:schemaRefs>
</ds:datastoreItem>
</file>

<file path=customXml/itemProps2.xml><?xml version="1.0" encoding="utf-8"?>
<ds:datastoreItem xmlns:ds="http://schemas.openxmlformats.org/officeDocument/2006/customXml" ds:itemID="{D6A6B443-8077-40FE-A02A-18CB50A1E9C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a00c8bc-1bee-4259-8fbb-d6907a0a331a"/>
    <ds:schemaRef ds:uri="http://www.w3.org/XML/1998/namespace"/>
  </ds:schemaRefs>
</ds:datastoreItem>
</file>

<file path=customXml/itemProps3.xml><?xml version="1.0" encoding="utf-8"?>
<ds:datastoreItem xmlns:ds="http://schemas.openxmlformats.org/officeDocument/2006/customXml" ds:itemID="{A9B68ED8-2F4E-4BA6-8005-24F7122EF998}">
  <ds:schemaRefs>
    <ds:schemaRef ds:uri="http://schemas.openxmlformats.org/officeDocument/2006/bibliography"/>
  </ds:schemaRefs>
</ds:datastoreItem>
</file>

<file path=customXml/itemProps4.xml><?xml version="1.0" encoding="utf-8"?>
<ds:datastoreItem xmlns:ds="http://schemas.openxmlformats.org/officeDocument/2006/customXml" ds:itemID="{F3AACBDC-45C8-45C8-BEF4-A1AEA7B69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0c8bc-1bee-4259-8fbb-d6907a0a3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8835</Words>
  <Characters>48594</Characters>
  <Application>Microsoft Office Word</Application>
  <DocSecurity>0</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Anouk Beekers</dc:creator>
  <cp:lastModifiedBy>Seine Hendriks</cp:lastModifiedBy>
  <cp:revision>6</cp:revision>
  <cp:lastPrinted>2019-06-25T09:57:00Z</cp:lastPrinted>
  <dcterms:created xsi:type="dcterms:W3CDTF">2021-06-22T12:07:00Z</dcterms:created>
  <dcterms:modified xsi:type="dcterms:W3CDTF">2021-06-24T11:21:00Z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0x01010009B8BA6A98C5F940BB1AF9598B2F7E54</vt:lpwstr>
  </property>
  <property fmtid="{D5CDD505-2E9C-101B-9397-08002B2CF9AE}" pid="3" name="LandstedeLocatie">
    <vt:lpwstr/>
  </property>
  <property fmtid="{D5CDD505-2E9C-101B-9397-08002B2CF9AE}" pid="4" name="LandstedeProces">
    <vt:lpwstr/>
  </property>
  <property fmtid="{D5CDD505-2E9C-101B-9397-08002B2CF9AE}" pid="5" name="LandstedeTrefwoorden">
    <vt:lpwstr/>
  </property>
  <property fmtid="{D5CDD505-2E9C-101B-9397-08002B2CF9AE}" pid="6" name="LandstedeOrganisatiedeel">
    <vt:lpwstr>31;#Landstede Groep|6e3d8c17-a80a-4cec-b1d7-b01b4a044303</vt:lpwstr>
  </property>
</Properties>
</file>